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5E" w:rsidRDefault="00F50F5E" w:rsidP="00F50F5E">
      <w:pPr>
        <w:pStyle w:val="Heading1"/>
        <w:spacing w:before="120" w:after="120" w:line="280" w:lineRule="atLeast"/>
        <w:jc w:val="center"/>
        <w:rPr>
          <w:szCs w:val="24"/>
        </w:rPr>
      </w:pPr>
      <w:r w:rsidRPr="00F50F5E">
        <w:rPr>
          <w:szCs w:val="24"/>
        </w:rPr>
        <w:t>Broadband Commission Working Group on Gender &amp; Broadband</w:t>
      </w:r>
    </w:p>
    <w:p w:rsidR="001B3CD0" w:rsidRDefault="001B3CD0" w:rsidP="001B3CD0">
      <w:pPr>
        <w:pStyle w:val="Heading1"/>
        <w:spacing w:before="120" w:after="120" w:line="280" w:lineRule="atLeast"/>
        <w:jc w:val="center"/>
        <w:rPr>
          <w:szCs w:val="24"/>
        </w:rPr>
      </w:pPr>
      <w:bookmarkStart w:id="0" w:name="_Toc227329147"/>
      <w:r w:rsidRPr="00441377">
        <w:rPr>
          <w:szCs w:val="24"/>
        </w:rPr>
        <w:t>Concept Note for the Report</w:t>
      </w:r>
      <w:bookmarkEnd w:id="0"/>
      <w:r w:rsidR="008C4667">
        <w:rPr>
          <w:szCs w:val="24"/>
        </w:rPr>
        <w:t xml:space="preserve"> – version 2</w:t>
      </w:r>
    </w:p>
    <w:p w:rsidR="002865DF" w:rsidRDefault="002865DF" w:rsidP="00C65AB6">
      <w:pPr>
        <w:widowControl w:val="0"/>
        <w:autoSpaceDE w:val="0"/>
        <w:autoSpaceDN w:val="0"/>
        <w:adjustRightInd w:val="0"/>
        <w:spacing w:before="240" w:after="120" w:line="280" w:lineRule="atLeast"/>
        <w:rPr>
          <w:rFonts w:ascii="Helvetica" w:hAnsi="Helvetica" w:cs="Helvetica"/>
          <w:sz w:val="19"/>
          <w:szCs w:val="19"/>
        </w:rPr>
      </w:pPr>
    </w:p>
    <w:p w:rsidR="002865DF" w:rsidRPr="002865DF" w:rsidRDefault="002865DF" w:rsidP="00C65AB6">
      <w:pPr>
        <w:widowControl w:val="0"/>
        <w:autoSpaceDE w:val="0"/>
        <w:autoSpaceDN w:val="0"/>
        <w:adjustRightInd w:val="0"/>
        <w:spacing w:before="240" w:after="120" w:line="280" w:lineRule="atLeast"/>
        <w:rPr>
          <w:rFonts w:ascii="Helvetica" w:hAnsi="Helvetica" w:cs="Helvetica"/>
          <w:b/>
          <w:bCs/>
          <w:sz w:val="19"/>
          <w:szCs w:val="19"/>
        </w:rPr>
      </w:pPr>
      <w:r w:rsidRPr="002865DF">
        <w:rPr>
          <w:rFonts w:ascii="Helvetica" w:hAnsi="Helvetica" w:cs="Helvetica"/>
          <w:b/>
          <w:bCs/>
          <w:sz w:val="19"/>
          <w:szCs w:val="19"/>
        </w:rPr>
        <w:t>Aim of this Report</w:t>
      </w:r>
    </w:p>
    <w:p w:rsidR="00C65AB6" w:rsidRDefault="00C65AB6" w:rsidP="00C65AB6">
      <w:pPr>
        <w:widowControl w:val="0"/>
        <w:autoSpaceDE w:val="0"/>
        <w:autoSpaceDN w:val="0"/>
        <w:adjustRightInd w:val="0"/>
        <w:spacing w:before="240" w:after="120" w:line="280" w:lineRule="atLeast"/>
        <w:rPr>
          <w:rFonts w:ascii="Helvetica" w:hAnsi="Helvetica" w:cs="Helvetica"/>
          <w:sz w:val="19"/>
          <w:szCs w:val="19"/>
        </w:rPr>
      </w:pPr>
      <w:r w:rsidRPr="00441377">
        <w:rPr>
          <w:rFonts w:ascii="Helvetica" w:hAnsi="Helvetica" w:cs="Helvetica"/>
          <w:sz w:val="19"/>
          <w:szCs w:val="19"/>
        </w:rPr>
        <w:t>The Bro</w:t>
      </w:r>
      <w:r>
        <w:rPr>
          <w:rFonts w:ascii="Helvetica" w:hAnsi="Helvetica" w:cs="Helvetica"/>
          <w:sz w:val="19"/>
          <w:szCs w:val="19"/>
        </w:rPr>
        <w:t>adband Commission</w:t>
      </w:r>
      <w:r w:rsidRPr="00441377">
        <w:rPr>
          <w:rFonts w:ascii="Helvetica" w:hAnsi="Helvetica" w:cs="Helvetica"/>
          <w:sz w:val="19"/>
          <w:szCs w:val="19"/>
        </w:rPr>
        <w:t> Working Group on Gender committed itself in Mexico to develop a report on ICTs, gender equality and women's empowerment. The Report is envisaged to help policy</w:t>
      </w:r>
      <w:r w:rsidR="00F50F5E">
        <w:rPr>
          <w:rFonts w:ascii="Helvetica" w:hAnsi="Helvetica" w:cs="Helvetica"/>
          <w:sz w:val="19"/>
          <w:szCs w:val="19"/>
        </w:rPr>
        <w:t>-</w:t>
      </w:r>
      <w:r w:rsidRPr="00441377">
        <w:rPr>
          <w:rFonts w:ascii="Helvetica" w:hAnsi="Helvetica" w:cs="Helvetica"/>
          <w:sz w:val="19"/>
          <w:szCs w:val="19"/>
        </w:rPr>
        <w:t>makers and development practitioners in both ICTD and gender fields to better understand how to integrate ICTs and gender in their efforts.</w:t>
      </w:r>
      <w:r w:rsidR="002865DF">
        <w:rPr>
          <w:rFonts w:ascii="Helvetica" w:hAnsi="Helvetica" w:cs="Helvetica"/>
          <w:sz w:val="19"/>
          <w:szCs w:val="19"/>
        </w:rPr>
        <w:t xml:space="preserve"> </w:t>
      </w:r>
      <w:r w:rsidR="002865DF" w:rsidRPr="00441377">
        <w:rPr>
          <w:rFonts w:ascii="Helvetica" w:hAnsi="Helvetica" w:cs="Helvetica"/>
          <w:sz w:val="19"/>
          <w:szCs w:val="19"/>
        </w:rPr>
        <w:t xml:space="preserve">With this Report, the Working Group </w:t>
      </w:r>
      <w:r w:rsidR="002865DF">
        <w:rPr>
          <w:rFonts w:ascii="Helvetica" w:hAnsi="Helvetica" w:cs="Helvetica"/>
          <w:sz w:val="19"/>
          <w:szCs w:val="19"/>
        </w:rPr>
        <w:t>aims</w:t>
      </w:r>
      <w:r w:rsidR="002865DF" w:rsidRPr="00441377">
        <w:rPr>
          <w:rFonts w:ascii="Helvetica" w:hAnsi="Helvetica" w:cs="Helvetica"/>
          <w:sz w:val="19"/>
          <w:szCs w:val="19"/>
        </w:rPr>
        <w:t xml:space="preserve"> to produce a tool for stakeholders to use in advocating for and shaping concrete policy actions and strategies designed to transform the lives of women around the world.</w:t>
      </w:r>
    </w:p>
    <w:p w:rsidR="00C65AB6" w:rsidRPr="0012584C" w:rsidRDefault="002865DF" w:rsidP="00C65AB6">
      <w:pPr>
        <w:widowControl w:val="0"/>
        <w:autoSpaceDE w:val="0"/>
        <w:autoSpaceDN w:val="0"/>
        <w:adjustRightInd w:val="0"/>
        <w:spacing w:before="240" w:after="120" w:line="280" w:lineRule="atLeast"/>
        <w:rPr>
          <w:rFonts w:ascii="Helvetica" w:hAnsi="Helvetica" w:cs="Helvetica"/>
          <w:sz w:val="19"/>
          <w:szCs w:val="19"/>
        </w:rPr>
      </w:pPr>
      <w:r>
        <w:rPr>
          <w:rFonts w:ascii="Helvetica" w:hAnsi="Helvetica" w:cs="Helvetica"/>
          <w:b/>
          <w:bCs/>
          <w:sz w:val="19"/>
          <w:szCs w:val="19"/>
        </w:rPr>
        <w:br/>
      </w:r>
      <w:r w:rsidR="00C65AB6" w:rsidRPr="00441377">
        <w:rPr>
          <w:rFonts w:ascii="Helvetica" w:hAnsi="Helvetica" w:cs="Helvetica"/>
          <w:b/>
          <w:bCs/>
          <w:sz w:val="19"/>
          <w:szCs w:val="19"/>
        </w:rPr>
        <w:t>Context</w:t>
      </w:r>
    </w:p>
    <w:p w:rsidR="00C65AB6" w:rsidRPr="00441377" w:rsidRDefault="00C65AB6" w:rsidP="00F50F5E">
      <w:pPr>
        <w:widowControl w:val="0"/>
        <w:autoSpaceDE w:val="0"/>
        <w:autoSpaceDN w:val="0"/>
        <w:adjustRightInd w:val="0"/>
        <w:spacing w:before="240" w:after="120" w:line="280" w:lineRule="atLeast"/>
        <w:rPr>
          <w:rFonts w:ascii="Helvetica" w:hAnsi="Helvetica" w:cs="Helvetica"/>
          <w:sz w:val="19"/>
          <w:szCs w:val="19"/>
        </w:rPr>
      </w:pPr>
      <w:r w:rsidRPr="00441377">
        <w:rPr>
          <w:rFonts w:ascii="Helvetica" w:hAnsi="Helvetica" w:cs="Helvetica"/>
          <w:sz w:val="19"/>
          <w:szCs w:val="19"/>
        </w:rPr>
        <w:t xml:space="preserve">The Millennium Development Goals (MDGs) </w:t>
      </w:r>
      <w:r w:rsidR="00F50F5E">
        <w:rPr>
          <w:rFonts w:ascii="Helvetica" w:hAnsi="Helvetica" w:cs="Helvetica"/>
          <w:sz w:val="19"/>
          <w:szCs w:val="19"/>
        </w:rPr>
        <w:t xml:space="preserve">have </w:t>
      </w:r>
      <w:r w:rsidRPr="00441377">
        <w:rPr>
          <w:rFonts w:ascii="Helvetica" w:hAnsi="Helvetica" w:cs="Helvetica"/>
          <w:sz w:val="19"/>
          <w:szCs w:val="19"/>
        </w:rPr>
        <w:t xml:space="preserve">helped focus on achieving certain targets related to gender equity and ICT access, and now the challenge is to understand the linkages between ICTs and women's empowerment in achieving those targets. ICT for development and gender equality/women’s empowerment </w:t>
      </w:r>
      <w:r w:rsidRPr="00441377">
        <w:rPr>
          <w:rFonts w:ascii="Helvetica" w:hAnsi="Helvetica" w:cs="Helvetica"/>
          <w:i/>
          <w:iCs/>
          <w:sz w:val="19"/>
          <w:szCs w:val="19"/>
        </w:rPr>
        <w:t>communities of experts</w:t>
      </w:r>
      <w:r w:rsidRPr="00441377">
        <w:rPr>
          <w:rFonts w:ascii="Helvetica" w:hAnsi="Helvetica" w:cs="Helvetica"/>
          <w:sz w:val="19"/>
          <w:szCs w:val="19"/>
        </w:rPr>
        <w:t xml:space="preserve"> have shown the wide range of challenges faced by women around the world.</w:t>
      </w:r>
    </w:p>
    <w:p w:rsidR="00C65AB6" w:rsidRPr="00441377" w:rsidRDefault="00C65AB6" w:rsidP="002865DF">
      <w:pPr>
        <w:widowControl w:val="0"/>
        <w:autoSpaceDE w:val="0"/>
        <w:autoSpaceDN w:val="0"/>
        <w:adjustRightInd w:val="0"/>
        <w:spacing w:before="240" w:after="240" w:line="280" w:lineRule="atLeast"/>
        <w:rPr>
          <w:rFonts w:ascii="Helvetica" w:hAnsi="Helvetica" w:cs="Helvetica"/>
          <w:sz w:val="19"/>
          <w:szCs w:val="19"/>
        </w:rPr>
      </w:pPr>
      <w:r w:rsidRPr="00441377">
        <w:rPr>
          <w:rFonts w:ascii="Helvetica" w:hAnsi="Helvetica" w:cs="Helvetica"/>
          <w:sz w:val="19"/>
          <w:szCs w:val="19"/>
        </w:rPr>
        <w:t>The Broadband Commission's Working Group</w:t>
      </w:r>
      <w:r w:rsidR="00F50F5E">
        <w:rPr>
          <w:rFonts w:ascii="Helvetica" w:hAnsi="Helvetica" w:cs="Helvetica"/>
          <w:sz w:val="19"/>
          <w:szCs w:val="19"/>
        </w:rPr>
        <w:t xml:space="preserve"> on Gender &amp; Broadband</w:t>
      </w:r>
      <w:r w:rsidRPr="00441377">
        <w:rPr>
          <w:rFonts w:ascii="Helvetica" w:hAnsi="Helvetica" w:cs="Helvetica"/>
          <w:sz w:val="19"/>
          <w:szCs w:val="19"/>
        </w:rPr>
        <w:t xml:space="preserve"> </w:t>
      </w:r>
      <w:r w:rsidR="00F50F5E">
        <w:rPr>
          <w:rFonts w:ascii="Helvetica" w:hAnsi="Helvetica" w:cs="Helvetica"/>
          <w:sz w:val="19"/>
          <w:szCs w:val="19"/>
        </w:rPr>
        <w:t>a</w:t>
      </w:r>
      <w:r w:rsidRPr="00441377">
        <w:rPr>
          <w:rFonts w:ascii="Helvetica" w:hAnsi="Helvetica" w:cs="Helvetica"/>
          <w:sz w:val="19"/>
          <w:szCs w:val="19"/>
        </w:rPr>
        <w:t>i</w:t>
      </w:r>
      <w:r w:rsidR="00F50F5E">
        <w:rPr>
          <w:rFonts w:ascii="Helvetica" w:hAnsi="Helvetica" w:cs="Helvetica"/>
          <w:sz w:val="19"/>
          <w:szCs w:val="19"/>
        </w:rPr>
        <w:t>m</w:t>
      </w:r>
      <w:r w:rsidRPr="00441377">
        <w:rPr>
          <w:rFonts w:ascii="Helvetica" w:hAnsi="Helvetica" w:cs="Helvetica"/>
          <w:sz w:val="19"/>
          <w:szCs w:val="19"/>
        </w:rPr>
        <w:t>s to analyze relevant issues and demonstrate areas of impact for policies on and investments in broadband in their reports.</w:t>
      </w:r>
      <w:r w:rsidR="002865DF">
        <w:rPr>
          <w:rFonts w:ascii="Helvetica" w:hAnsi="Helvetica" w:cs="Helvetica"/>
          <w:sz w:val="19"/>
          <w:szCs w:val="19"/>
        </w:rPr>
        <w:t xml:space="preserve"> Broadband is the future of our connected world, and women should be able to participate fully in this broadband future. </w:t>
      </w:r>
      <w:r w:rsidRPr="00441377">
        <w:rPr>
          <w:rFonts w:ascii="Helvetica" w:hAnsi="Helvetica" w:cs="Helvetica"/>
          <w:sz w:val="19"/>
          <w:szCs w:val="19"/>
        </w:rPr>
        <w:t xml:space="preserve">The Working Group </w:t>
      </w:r>
      <w:r w:rsidR="00F50F5E">
        <w:rPr>
          <w:rFonts w:ascii="Helvetica" w:hAnsi="Helvetica" w:cs="Helvetica"/>
          <w:sz w:val="19"/>
          <w:szCs w:val="19"/>
        </w:rPr>
        <w:t>provides</w:t>
      </w:r>
      <w:r w:rsidRPr="00441377">
        <w:rPr>
          <w:rFonts w:ascii="Helvetica" w:hAnsi="Helvetica" w:cs="Helvetica"/>
          <w:sz w:val="19"/>
          <w:szCs w:val="19"/>
        </w:rPr>
        <w:t xml:space="preserve"> a</w:t>
      </w:r>
      <w:r w:rsidR="002865DF">
        <w:rPr>
          <w:rFonts w:ascii="Helvetica" w:hAnsi="Helvetica" w:cs="Helvetica"/>
          <w:sz w:val="19"/>
          <w:szCs w:val="19"/>
        </w:rPr>
        <w:t xml:space="preserve"> useful forum for collaborating </w:t>
      </w:r>
      <w:r w:rsidRPr="00441377">
        <w:rPr>
          <w:rFonts w:ascii="Helvetica" w:hAnsi="Helvetica" w:cs="Helvetica"/>
          <w:sz w:val="19"/>
          <w:szCs w:val="19"/>
        </w:rPr>
        <w:t>to frame the analysis of gender equity and ICTD and to integrate approaches in the report.</w:t>
      </w:r>
    </w:p>
    <w:p w:rsidR="00C65AB6" w:rsidRPr="00441377" w:rsidRDefault="00C65AB6" w:rsidP="002865DF">
      <w:pPr>
        <w:widowControl w:val="0"/>
        <w:autoSpaceDE w:val="0"/>
        <w:autoSpaceDN w:val="0"/>
        <w:adjustRightInd w:val="0"/>
        <w:spacing w:before="240" w:after="240" w:line="280" w:lineRule="atLeast"/>
        <w:rPr>
          <w:rFonts w:ascii="Helvetica" w:hAnsi="Helvetica" w:cs="Helvetica"/>
          <w:sz w:val="19"/>
          <w:szCs w:val="19"/>
        </w:rPr>
      </w:pPr>
      <w:r w:rsidRPr="00441377">
        <w:rPr>
          <w:rFonts w:ascii="Helvetica" w:hAnsi="Helvetica" w:cs="Helvetica"/>
          <w:sz w:val="19"/>
          <w:szCs w:val="19"/>
        </w:rPr>
        <w:t>Through the diffusion of mobile technologies, there are more opportunities for ICTs to enhance governance efforts and address challenges that women face globally. Unfortunately, we also know that women are</w:t>
      </w:r>
      <w:r w:rsidR="002865DF">
        <w:rPr>
          <w:rFonts w:ascii="Helvetica" w:hAnsi="Helvetica" w:cs="Helvetica"/>
          <w:sz w:val="19"/>
          <w:szCs w:val="19"/>
        </w:rPr>
        <w:t xml:space="preserve"> currently</w:t>
      </w:r>
      <w:r w:rsidRPr="00441377">
        <w:rPr>
          <w:rFonts w:ascii="Helvetica" w:hAnsi="Helvetica" w:cs="Helvetica"/>
          <w:sz w:val="19"/>
          <w:szCs w:val="19"/>
        </w:rPr>
        <w:t xml:space="preserve"> disproportionately excluded from the benefits of new technologies</w:t>
      </w:r>
      <w:r w:rsidR="002865DF">
        <w:rPr>
          <w:rFonts w:ascii="Helvetica" w:hAnsi="Helvetica" w:cs="Helvetica"/>
          <w:sz w:val="19"/>
          <w:szCs w:val="19"/>
        </w:rPr>
        <w:t>,</w:t>
      </w:r>
      <w:r w:rsidRPr="00441377">
        <w:rPr>
          <w:rFonts w:ascii="Helvetica" w:hAnsi="Helvetica" w:cs="Helvetica"/>
          <w:sz w:val="19"/>
          <w:szCs w:val="19"/>
        </w:rPr>
        <w:t xml:space="preserve"> particularly throughout the developing world, preventing women and girls from accessing a range of opportunities that could improve their lives, and exacerbating inequalities that already exist between men and women. It also puts at risk the progress achieved so far </w:t>
      </w:r>
      <w:r w:rsidR="002865DF">
        <w:rPr>
          <w:rFonts w:ascii="Helvetica" w:hAnsi="Helvetica" w:cs="Helvetica"/>
          <w:sz w:val="19"/>
          <w:szCs w:val="19"/>
        </w:rPr>
        <w:t>through</w:t>
      </w:r>
      <w:r w:rsidRPr="00441377">
        <w:rPr>
          <w:rFonts w:ascii="Helvetica" w:hAnsi="Helvetica" w:cs="Helvetica"/>
          <w:sz w:val="19"/>
          <w:szCs w:val="19"/>
        </w:rPr>
        <w:t xml:space="preserve"> the MDGs.</w:t>
      </w:r>
      <w:r w:rsidR="002865DF">
        <w:rPr>
          <w:rFonts w:ascii="Helvetica" w:hAnsi="Helvetica" w:cs="Helvetica"/>
          <w:sz w:val="19"/>
          <w:szCs w:val="19"/>
        </w:rPr>
        <w:t xml:space="preserve"> </w:t>
      </w:r>
    </w:p>
    <w:p w:rsidR="00C65AB6" w:rsidRPr="00441377" w:rsidRDefault="00C65AB6" w:rsidP="001B3CD0">
      <w:pPr>
        <w:widowControl w:val="0"/>
        <w:autoSpaceDE w:val="0"/>
        <w:autoSpaceDN w:val="0"/>
        <w:adjustRightInd w:val="0"/>
        <w:spacing w:before="240" w:after="240" w:line="280" w:lineRule="atLeast"/>
        <w:rPr>
          <w:rFonts w:ascii="Helvetica" w:hAnsi="Helvetica" w:cs="Helvetica"/>
          <w:sz w:val="19"/>
          <w:szCs w:val="19"/>
        </w:rPr>
      </w:pPr>
      <w:r w:rsidRPr="00441377">
        <w:rPr>
          <w:rFonts w:ascii="Helvetica" w:hAnsi="Helvetica" w:cs="Helvetica"/>
          <w:sz w:val="19"/>
          <w:szCs w:val="19"/>
        </w:rPr>
        <w:t xml:space="preserve">For instance, women in middle </w:t>
      </w:r>
      <w:r w:rsidR="002865DF">
        <w:rPr>
          <w:rFonts w:ascii="Helvetica" w:hAnsi="Helvetica" w:cs="Helvetica"/>
          <w:sz w:val="19"/>
          <w:szCs w:val="19"/>
        </w:rPr>
        <w:t xml:space="preserve">and low-income countries are 21% </w:t>
      </w:r>
      <w:r w:rsidRPr="00441377">
        <w:rPr>
          <w:rFonts w:ascii="Helvetica" w:hAnsi="Helvetica" w:cs="Helvetica"/>
          <w:sz w:val="19"/>
          <w:szCs w:val="19"/>
        </w:rPr>
        <w:t>less likely to own a mobile phone than men - a figure which increases to</w:t>
      </w:r>
      <w:r w:rsidR="002865DF">
        <w:rPr>
          <w:rFonts w:ascii="Helvetica" w:hAnsi="Helvetica" w:cs="Helvetica"/>
          <w:sz w:val="19"/>
          <w:szCs w:val="19"/>
        </w:rPr>
        <w:t xml:space="preserve"> 37% in South Asia, 24% in the Middle East and 23% </w:t>
      </w:r>
      <w:r w:rsidRPr="00441377">
        <w:rPr>
          <w:rFonts w:ascii="Helvetica" w:hAnsi="Helvetica" w:cs="Helvetica"/>
          <w:sz w:val="19"/>
          <w:szCs w:val="19"/>
        </w:rPr>
        <w:t>in Sub-Sahara Africa (GSMA 2010). Women are also less likely to have ac</w:t>
      </w:r>
      <w:r w:rsidR="002865DF">
        <w:rPr>
          <w:rFonts w:ascii="Helvetica" w:hAnsi="Helvetica" w:cs="Helvetica"/>
          <w:sz w:val="19"/>
          <w:szCs w:val="19"/>
        </w:rPr>
        <w:t xml:space="preserve">cess to the Internet: nearly 25% </w:t>
      </w:r>
      <w:r w:rsidRPr="00441377">
        <w:rPr>
          <w:rFonts w:ascii="Helvetica" w:hAnsi="Helvetica" w:cs="Helvetica"/>
          <w:sz w:val="19"/>
          <w:szCs w:val="19"/>
        </w:rPr>
        <w:t>less than men a</w:t>
      </w:r>
      <w:r w:rsidR="002865DF">
        <w:rPr>
          <w:rFonts w:ascii="Helvetica" w:hAnsi="Helvetica" w:cs="Helvetica"/>
          <w:sz w:val="19"/>
          <w:szCs w:val="19"/>
        </w:rPr>
        <w:t xml:space="preserve">cross the developing world – 45% </w:t>
      </w:r>
      <w:r w:rsidRPr="00441377">
        <w:rPr>
          <w:rFonts w:ascii="Helvetica" w:hAnsi="Helvetica" w:cs="Helvetica"/>
          <w:sz w:val="19"/>
          <w:szCs w:val="19"/>
        </w:rPr>
        <w:t>less in Sub-Sahara</w:t>
      </w:r>
      <w:r w:rsidR="002865DF">
        <w:rPr>
          <w:rFonts w:ascii="Helvetica" w:hAnsi="Helvetica" w:cs="Helvetica"/>
          <w:sz w:val="19"/>
          <w:szCs w:val="19"/>
        </w:rPr>
        <w:t xml:space="preserve">n Africa, 35% </w:t>
      </w:r>
      <w:r w:rsidRPr="00441377">
        <w:rPr>
          <w:rFonts w:ascii="Helvetica" w:hAnsi="Helvetica" w:cs="Helvetica"/>
          <w:sz w:val="19"/>
          <w:szCs w:val="19"/>
        </w:rPr>
        <w:t xml:space="preserve">fewer women than men in South Asia, Middle East </w:t>
      </w:r>
      <w:r w:rsidR="002865DF">
        <w:rPr>
          <w:rFonts w:ascii="Helvetica" w:hAnsi="Helvetica" w:cs="Helvetica"/>
          <w:sz w:val="19"/>
          <w:szCs w:val="19"/>
        </w:rPr>
        <w:t xml:space="preserve">and North Africa, and around 30% </w:t>
      </w:r>
      <w:r w:rsidRPr="00441377">
        <w:rPr>
          <w:rFonts w:ascii="Helvetica" w:hAnsi="Helvetica" w:cs="Helvetica"/>
          <w:sz w:val="19"/>
          <w:szCs w:val="19"/>
        </w:rPr>
        <w:t>in parts of Europe and Central Asia. The difference between low- and high-income countries is also notable -- most higher-income countries see much less lag between men's and</w:t>
      </w:r>
      <w:r w:rsidR="001B3CD0">
        <w:rPr>
          <w:rFonts w:ascii="Helvetica" w:hAnsi="Helvetica" w:cs="Helvetica"/>
          <w:sz w:val="19"/>
          <w:szCs w:val="19"/>
        </w:rPr>
        <w:t xml:space="preserve"> women’s access to the Internet. I</w:t>
      </w:r>
      <w:r w:rsidRPr="00441377">
        <w:rPr>
          <w:rFonts w:ascii="Helvetica" w:hAnsi="Helvetica" w:cs="Helvetica"/>
          <w:sz w:val="19"/>
          <w:szCs w:val="19"/>
        </w:rPr>
        <w:t>n France and the US</w:t>
      </w:r>
      <w:r w:rsidR="002865DF">
        <w:rPr>
          <w:rFonts w:ascii="Helvetica" w:hAnsi="Helvetica" w:cs="Helvetica"/>
          <w:sz w:val="19"/>
          <w:szCs w:val="19"/>
        </w:rPr>
        <w:t>,</w:t>
      </w:r>
      <w:r w:rsidRPr="00441377">
        <w:rPr>
          <w:rFonts w:ascii="Helvetica" w:hAnsi="Helvetica" w:cs="Helvetica"/>
          <w:sz w:val="19"/>
          <w:szCs w:val="19"/>
        </w:rPr>
        <w:t xml:space="preserve"> women's access</w:t>
      </w:r>
      <w:r w:rsidR="002865DF">
        <w:rPr>
          <w:rFonts w:ascii="Helvetica" w:hAnsi="Helvetica" w:cs="Helvetica"/>
          <w:sz w:val="19"/>
          <w:szCs w:val="19"/>
        </w:rPr>
        <w:t xml:space="preserve"> now</w:t>
      </w:r>
      <w:r w:rsidRPr="00441377">
        <w:rPr>
          <w:rFonts w:ascii="Helvetica" w:hAnsi="Helvetica" w:cs="Helvetica"/>
          <w:sz w:val="19"/>
          <w:szCs w:val="19"/>
        </w:rPr>
        <w:t xml:space="preserve"> exceeds that of men (Intel</w:t>
      </w:r>
      <w:r w:rsidR="002865DF">
        <w:rPr>
          <w:rFonts w:ascii="Helvetica" w:hAnsi="Helvetica" w:cs="Helvetica"/>
          <w:sz w:val="19"/>
          <w:szCs w:val="19"/>
        </w:rPr>
        <w:t>,</w:t>
      </w:r>
      <w:r w:rsidRPr="00441377">
        <w:rPr>
          <w:rFonts w:ascii="Helvetica" w:hAnsi="Helvetica" w:cs="Helvetica"/>
          <w:sz w:val="19"/>
          <w:szCs w:val="19"/>
        </w:rPr>
        <w:t xml:space="preserve"> 2013). </w:t>
      </w:r>
    </w:p>
    <w:p w:rsidR="00C65AB6" w:rsidRPr="00441377" w:rsidRDefault="002865DF" w:rsidP="001B3CD0">
      <w:pPr>
        <w:widowControl w:val="0"/>
        <w:autoSpaceDE w:val="0"/>
        <w:autoSpaceDN w:val="0"/>
        <w:adjustRightInd w:val="0"/>
        <w:spacing w:before="240" w:after="240" w:line="280" w:lineRule="atLeast"/>
        <w:rPr>
          <w:rFonts w:ascii="Helvetica" w:hAnsi="Helvetica" w:cs="Helvetica"/>
          <w:sz w:val="19"/>
          <w:szCs w:val="19"/>
        </w:rPr>
      </w:pPr>
      <w:r>
        <w:rPr>
          <w:rFonts w:ascii="Helvetica" w:hAnsi="Helvetica" w:cs="Helvetica"/>
          <w:sz w:val="19"/>
          <w:szCs w:val="19"/>
        </w:rPr>
        <w:t>In her address to the</w:t>
      </w:r>
      <w:r w:rsidR="001B3CD0">
        <w:rPr>
          <w:rFonts w:ascii="Helvetica" w:hAnsi="Helvetica" w:cs="Helvetica"/>
          <w:sz w:val="19"/>
          <w:szCs w:val="19"/>
        </w:rPr>
        <w:t xml:space="preserve"> Commission’s</w:t>
      </w:r>
      <w:r>
        <w:rPr>
          <w:rFonts w:ascii="Helvetica" w:hAnsi="Helvetica" w:cs="Helvetica"/>
          <w:sz w:val="19"/>
          <w:szCs w:val="19"/>
        </w:rPr>
        <w:t xml:space="preserve"> Mexican meeting,</w:t>
      </w:r>
      <w:r w:rsidR="00C65AB6" w:rsidRPr="00441377">
        <w:rPr>
          <w:rFonts w:ascii="Helvetica" w:hAnsi="Helvetica" w:cs="Helvetica"/>
          <w:sz w:val="19"/>
          <w:szCs w:val="19"/>
        </w:rPr>
        <w:t xml:space="preserve"> the Chair of the Working Group</w:t>
      </w:r>
      <w:r>
        <w:rPr>
          <w:rFonts w:ascii="Helvetica" w:hAnsi="Helvetica" w:cs="Helvetica"/>
          <w:sz w:val="19"/>
          <w:szCs w:val="19"/>
        </w:rPr>
        <w:t xml:space="preserve">, </w:t>
      </w:r>
      <w:r w:rsidR="00C65AB6" w:rsidRPr="00441377">
        <w:rPr>
          <w:rFonts w:ascii="Helvetica" w:hAnsi="Helvetica" w:cs="Helvetica"/>
          <w:sz w:val="19"/>
          <w:szCs w:val="19"/>
        </w:rPr>
        <w:t>Ms. Clark pointed out that “enabling more women to benefit from new technology is more than a matter of fairness. The strategic use of ICTs:</w:t>
      </w:r>
    </w:p>
    <w:p w:rsidR="00C65AB6" w:rsidRPr="00441377" w:rsidRDefault="00C65AB6" w:rsidP="00C65AB6">
      <w:pPr>
        <w:widowControl w:val="0"/>
        <w:numPr>
          <w:ilvl w:val="0"/>
          <w:numId w:val="1"/>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441377">
        <w:rPr>
          <w:rFonts w:ascii="Helvetica" w:hAnsi="Helvetica" w:cs="Helvetica"/>
          <w:sz w:val="19"/>
          <w:szCs w:val="19"/>
        </w:rPr>
        <w:lastRenderedPageBreak/>
        <w:t>Enables women to have a voice in decision-making that affects their lives and enhances their participati</w:t>
      </w:r>
      <w:r>
        <w:rPr>
          <w:rFonts w:ascii="Helvetica" w:hAnsi="Helvetica" w:cs="Helvetica"/>
          <w:sz w:val="19"/>
          <w:szCs w:val="19"/>
        </w:rPr>
        <w:t>on in public life and politics;</w:t>
      </w:r>
    </w:p>
    <w:p w:rsidR="00C65AB6" w:rsidRPr="00441377" w:rsidRDefault="00C65AB6" w:rsidP="00C65AB6">
      <w:pPr>
        <w:widowControl w:val="0"/>
        <w:numPr>
          <w:ilvl w:val="0"/>
          <w:numId w:val="1"/>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441377">
        <w:rPr>
          <w:rFonts w:ascii="Helvetica" w:hAnsi="Helvetica" w:cs="Helvetica"/>
          <w:sz w:val="19"/>
          <w:szCs w:val="19"/>
        </w:rPr>
        <w:t>Empowers women by enhancing their access to key services and to information relevant to their needs and to the welfare of their families; and,</w:t>
      </w:r>
    </w:p>
    <w:p w:rsidR="00C65AB6" w:rsidRPr="00441377" w:rsidRDefault="00C65AB6" w:rsidP="00C65AB6">
      <w:pPr>
        <w:widowControl w:val="0"/>
        <w:numPr>
          <w:ilvl w:val="0"/>
          <w:numId w:val="1"/>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441377">
        <w:rPr>
          <w:rFonts w:ascii="Helvetica" w:hAnsi="Helvetica" w:cs="Helvetica"/>
          <w:sz w:val="19"/>
          <w:szCs w:val="19"/>
        </w:rPr>
        <w:t>Empowers women economically by giving them increased control and access to resources and information and fostering their opportunities for successful entrepreneurship."</w:t>
      </w:r>
    </w:p>
    <w:p w:rsidR="00C65AB6" w:rsidRPr="00441377" w:rsidRDefault="00C65AB6" w:rsidP="002865DF">
      <w:pPr>
        <w:widowControl w:val="0"/>
        <w:autoSpaceDE w:val="0"/>
        <w:autoSpaceDN w:val="0"/>
        <w:adjustRightInd w:val="0"/>
        <w:spacing w:before="240" w:after="240" w:line="280" w:lineRule="atLeast"/>
        <w:rPr>
          <w:rFonts w:ascii="Helvetica" w:hAnsi="Helvetica" w:cs="Helvetica"/>
          <w:sz w:val="19"/>
          <w:szCs w:val="19"/>
        </w:rPr>
      </w:pPr>
      <w:r w:rsidRPr="00441377">
        <w:rPr>
          <w:rFonts w:ascii="Helvetica" w:hAnsi="Helvetica" w:cs="Helvetica"/>
          <w:sz w:val="19"/>
          <w:szCs w:val="19"/>
        </w:rPr>
        <w:br/>
        <w:t xml:space="preserve">Ms. Clark challenged the audience to address these issues and to identify innovative strategies to harness the power of ICTs for promoting gender equality, empowering women and accelerating development progress overall. This Report is a response to the challenge. </w:t>
      </w:r>
    </w:p>
    <w:p w:rsidR="00C65AB6" w:rsidRPr="00441377" w:rsidRDefault="002865DF" w:rsidP="00C65AB6">
      <w:pPr>
        <w:widowControl w:val="0"/>
        <w:autoSpaceDE w:val="0"/>
        <w:autoSpaceDN w:val="0"/>
        <w:adjustRightInd w:val="0"/>
        <w:spacing w:before="240" w:after="240" w:line="280" w:lineRule="atLeast"/>
        <w:rPr>
          <w:rFonts w:ascii="Helvetica" w:hAnsi="Helvetica" w:cs="Helvetica"/>
          <w:b/>
          <w:bCs/>
          <w:sz w:val="19"/>
          <w:szCs w:val="19"/>
        </w:rPr>
      </w:pPr>
      <w:r>
        <w:rPr>
          <w:rFonts w:ascii="Helvetica" w:hAnsi="Helvetica" w:cs="Helvetica"/>
          <w:b/>
          <w:bCs/>
          <w:sz w:val="19"/>
          <w:szCs w:val="19"/>
        </w:rPr>
        <w:br/>
        <w:t xml:space="preserve">DRAFT Table of </w:t>
      </w:r>
      <w:r w:rsidR="00C65AB6" w:rsidRPr="00441377">
        <w:rPr>
          <w:rFonts w:ascii="Helvetica" w:hAnsi="Helvetica" w:cs="Helvetica"/>
          <w:b/>
          <w:bCs/>
          <w:sz w:val="19"/>
          <w:szCs w:val="19"/>
        </w:rPr>
        <w:t>Content</w:t>
      </w:r>
      <w:r w:rsidR="0091507E">
        <w:rPr>
          <w:rFonts w:ascii="Helvetica" w:hAnsi="Helvetica" w:cs="Helvetica"/>
          <w:b/>
          <w:bCs/>
          <w:sz w:val="19"/>
          <w:szCs w:val="19"/>
        </w:rPr>
        <w:t>s [subject to further review, commentary &amp; approval by the WG]</w:t>
      </w:r>
    </w:p>
    <w:p w:rsidR="00C65AB6" w:rsidRPr="00441377" w:rsidRDefault="00C65AB6" w:rsidP="00C65AB6">
      <w:pPr>
        <w:widowControl w:val="0"/>
        <w:autoSpaceDE w:val="0"/>
        <w:autoSpaceDN w:val="0"/>
        <w:adjustRightInd w:val="0"/>
        <w:spacing w:before="240" w:after="240" w:line="280" w:lineRule="atLeast"/>
        <w:rPr>
          <w:rFonts w:ascii="Helvetica" w:hAnsi="Helvetica" w:cs="Helvetica"/>
          <w:sz w:val="19"/>
          <w:szCs w:val="19"/>
        </w:rPr>
      </w:pPr>
      <w:r w:rsidRPr="00441377">
        <w:rPr>
          <w:rFonts w:ascii="Helvetica" w:hAnsi="Helvetica" w:cs="Helvetica"/>
          <w:sz w:val="19"/>
          <w:szCs w:val="19"/>
        </w:rPr>
        <w:t>The intention of the report is to provide tools for policy makers with concrete examples of successful, large-scale initiatives and suggestions for benchmarks and indicators for measuring progress. The three broad chapters will be:</w:t>
      </w:r>
    </w:p>
    <w:p w:rsidR="0091507E" w:rsidRDefault="0091507E" w:rsidP="00C15707">
      <w:pPr>
        <w:widowControl w:val="0"/>
        <w:numPr>
          <w:ilvl w:val="0"/>
          <w:numId w:val="2"/>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91507E">
        <w:rPr>
          <w:rFonts w:ascii="Helvetica" w:hAnsi="Helvetica" w:cs="Helvetica"/>
          <w:b/>
          <w:bCs/>
          <w:sz w:val="19"/>
          <w:szCs w:val="19"/>
        </w:rPr>
        <w:t>Executive Summary</w:t>
      </w:r>
      <w:r>
        <w:rPr>
          <w:rFonts w:ascii="Helvetica" w:hAnsi="Helvetica" w:cs="Helvetica"/>
          <w:sz w:val="19"/>
          <w:szCs w:val="19"/>
        </w:rPr>
        <w:br/>
        <w:t>This section will introduce the Report.  It shou</w:t>
      </w:r>
      <w:r w:rsidR="00C15707">
        <w:rPr>
          <w:rFonts w:ascii="Helvetica" w:hAnsi="Helvetica" w:cs="Helvetica"/>
          <w:sz w:val="19"/>
          <w:szCs w:val="19"/>
        </w:rPr>
        <w:t>ld:</w:t>
      </w:r>
      <w:r w:rsidR="00C15707">
        <w:rPr>
          <w:rFonts w:ascii="Helvetica" w:hAnsi="Helvetica" w:cs="Helvetica"/>
          <w:sz w:val="19"/>
          <w:szCs w:val="19"/>
        </w:rPr>
        <w:br/>
        <w:t xml:space="preserve">- put the report in context, </w:t>
      </w:r>
      <w:r>
        <w:rPr>
          <w:rFonts w:ascii="Helvetica" w:hAnsi="Helvetica" w:cs="Helvetica"/>
          <w:sz w:val="19"/>
          <w:szCs w:val="19"/>
        </w:rPr>
        <w:t>overview of the interest of the Broadband Commission in gender issues;</w:t>
      </w:r>
      <w:r>
        <w:rPr>
          <w:rFonts w:ascii="Helvetica" w:hAnsi="Helvetica" w:cs="Helvetica"/>
          <w:sz w:val="19"/>
          <w:szCs w:val="19"/>
        </w:rPr>
        <w:br/>
        <w:t xml:space="preserve">- explain the Report’s purpose </w:t>
      </w:r>
      <w:r w:rsidRPr="00441377">
        <w:rPr>
          <w:rFonts w:ascii="Helvetica" w:hAnsi="Helvetica" w:cs="Helvetica"/>
          <w:sz w:val="19"/>
          <w:szCs w:val="19"/>
        </w:rPr>
        <w:t>to help policy</w:t>
      </w:r>
      <w:r>
        <w:rPr>
          <w:rFonts w:ascii="Helvetica" w:hAnsi="Helvetica" w:cs="Helvetica"/>
          <w:sz w:val="19"/>
          <w:szCs w:val="19"/>
        </w:rPr>
        <w:t>-</w:t>
      </w:r>
      <w:r w:rsidRPr="00441377">
        <w:rPr>
          <w:rFonts w:ascii="Helvetica" w:hAnsi="Helvetica" w:cs="Helvetica"/>
          <w:sz w:val="19"/>
          <w:szCs w:val="19"/>
        </w:rPr>
        <w:t>makers and development practitioners in both ICTD and gender fields to better understand how to integrate I</w:t>
      </w:r>
      <w:r>
        <w:rPr>
          <w:rFonts w:ascii="Helvetica" w:hAnsi="Helvetica" w:cs="Helvetica"/>
          <w:sz w:val="19"/>
          <w:szCs w:val="19"/>
        </w:rPr>
        <w:t>CTs and gender in their efforts;</w:t>
      </w:r>
      <w:r>
        <w:rPr>
          <w:rFonts w:ascii="Helvetica" w:hAnsi="Helvetica" w:cs="Helvetica"/>
          <w:sz w:val="19"/>
          <w:szCs w:val="19"/>
        </w:rPr>
        <w:br/>
        <w:t xml:space="preserve"> </w:t>
      </w:r>
      <w:r w:rsidR="001B3CD0">
        <w:rPr>
          <w:rFonts w:ascii="Helvetica" w:hAnsi="Helvetica" w:cs="Helvetica"/>
          <w:sz w:val="19"/>
          <w:szCs w:val="19"/>
        </w:rPr>
        <w:t xml:space="preserve">- </w:t>
      </w:r>
      <w:r>
        <w:rPr>
          <w:rFonts w:ascii="Helvetica" w:hAnsi="Helvetica" w:cs="Helvetica"/>
          <w:sz w:val="19"/>
          <w:szCs w:val="19"/>
        </w:rPr>
        <w:t>and summarize the Report’s key findings.</w:t>
      </w:r>
      <w:r w:rsidR="001B3CD0">
        <w:rPr>
          <w:rFonts w:ascii="Helvetica" w:hAnsi="Helvetica" w:cs="Helvetica"/>
          <w:sz w:val="19"/>
          <w:szCs w:val="19"/>
        </w:rPr>
        <w:br/>
      </w:r>
      <w:r w:rsidR="001B3CD0" w:rsidRPr="001B3CD0">
        <w:rPr>
          <w:rFonts w:ascii="Helvetica" w:hAnsi="Helvetica" w:cs="Helvetica"/>
          <w:i/>
          <w:iCs/>
          <w:sz w:val="19"/>
          <w:szCs w:val="19"/>
        </w:rPr>
        <w:t>Likely contributors: all members of the Working Group, compiled/edited by ITU</w:t>
      </w:r>
      <w:r w:rsidR="00F13FB8">
        <w:rPr>
          <w:rFonts w:ascii="Helvetica" w:hAnsi="Helvetica" w:cs="Helvetica"/>
          <w:i/>
          <w:iCs/>
          <w:sz w:val="19"/>
          <w:szCs w:val="19"/>
        </w:rPr>
        <w:t xml:space="preserve">, </w:t>
      </w:r>
      <w:r w:rsidR="001B3CD0" w:rsidRPr="001B3CD0">
        <w:rPr>
          <w:rFonts w:ascii="Helvetica" w:hAnsi="Helvetica" w:cs="Helvetica"/>
          <w:i/>
          <w:iCs/>
          <w:sz w:val="19"/>
          <w:szCs w:val="19"/>
        </w:rPr>
        <w:t>reviewed by UNDP</w:t>
      </w:r>
      <w:r w:rsidR="00F13FB8">
        <w:rPr>
          <w:rFonts w:ascii="Helvetica" w:hAnsi="Helvetica" w:cs="Helvetica"/>
          <w:i/>
          <w:iCs/>
          <w:sz w:val="19"/>
          <w:szCs w:val="19"/>
        </w:rPr>
        <w:t xml:space="preserve"> </w:t>
      </w:r>
      <w:r w:rsidR="001B3CD0" w:rsidRPr="001B3CD0">
        <w:rPr>
          <w:rFonts w:ascii="Helvetica" w:hAnsi="Helvetica" w:cs="Helvetica"/>
          <w:i/>
          <w:iCs/>
          <w:sz w:val="19"/>
          <w:szCs w:val="19"/>
        </w:rPr>
        <w:t>(?).</w:t>
      </w:r>
      <w:r>
        <w:rPr>
          <w:rFonts w:ascii="Helvetica" w:hAnsi="Helvetica" w:cs="Helvetica"/>
          <w:sz w:val="19"/>
          <w:szCs w:val="19"/>
        </w:rPr>
        <w:br/>
      </w:r>
    </w:p>
    <w:p w:rsidR="00C65AB6" w:rsidRPr="00441377" w:rsidRDefault="0091507E" w:rsidP="001B3CD0">
      <w:pPr>
        <w:widowControl w:val="0"/>
        <w:numPr>
          <w:ilvl w:val="0"/>
          <w:numId w:val="2"/>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91507E">
        <w:rPr>
          <w:rFonts w:ascii="Helvetica" w:hAnsi="Helvetica" w:cs="Helvetica"/>
          <w:b/>
          <w:bCs/>
          <w:sz w:val="19"/>
          <w:szCs w:val="19"/>
        </w:rPr>
        <w:t>Why Gender Matters</w:t>
      </w:r>
      <w:r w:rsidR="001B3CD0">
        <w:rPr>
          <w:rFonts w:ascii="Helvetica" w:hAnsi="Helvetica" w:cs="Helvetica"/>
          <w:b/>
          <w:bCs/>
          <w:sz w:val="19"/>
          <w:szCs w:val="19"/>
        </w:rPr>
        <w:t xml:space="preserve"> [</w:t>
      </w:r>
      <w:r w:rsidR="001B3CD0" w:rsidRPr="001B3CD0">
        <w:rPr>
          <w:rFonts w:ascii="Helvetica" w:hAnsi="Helvetica" w:cs="Helvetica"/>
          <w:b/>
          <w:bCs/>
          <w:i/>
          <w:iCs/>
          <w:sz w:val="19"/>
          <w:szCs w:val="19"/>
        </w:rPr>
        <w:t>The issue</w:t>
      </w:r>
      <w:r w:rsidR="001B3CD0">
        <w:rPr>
          <w:rFonts w:ascii="Helvetica" w:hAnsi="Helvetica" w:cs="Helvetica"/>
          <w:b/>
          <w:bCs/>
          <w:sz w:val="19"/>
          <w:szCs w:val="19"/>
        </w:rPr>
        <w:t>]</w:t>
      </w:r>
      <w:r>
        <w:rPr>
          <w:rFonts w:ascii="Helvetica" w:hAnsi="Helvetica" w:cs="Helvetica"/>
          <w:sz w:val="19"/>
          <w:szCs w:val="19"/>
        </w:rPr>
        <w:br/>
        <w:t xml:space="preserve">- This section will “build the burning platform” and explain the issues relating to gender gaps in access to – use of – behavior – attitudes and beliefs – access to jobs and </w:t>
      </w:r>
      <w:proofErr w:type="spellStart"/>
      <w:r>
        <w:rPr>
          <w:rFonts w:ascii="Helvetica" w:hAnsi="Helvetica" w:cs="Helvetica"/>
          <w:sz w:val="19"/>
          <w:szCs w:val="19"/>
        </w:rPr>
        <w:t>labour</w:t>
      </w:r>
      <w:proofErr w:type="spellEnd"/>
      <w:r>
        <w:rPr>
          <w:rFonts w:ascii="Helvetica" w:hAnsi="Helvetica" w:cs="Helvetica"/>
          <w:sz w:val="19"/>
          <w:szCs w:val="19"/>
        </w:rPr>
        <w:t xml:space="preserve"> markets –  imagery, self-esteem and self-beliefs -- in ICTs, broadband and Internet.</w:t>
      </w:r>
      <w:r w:rsidR="001B3CD0">
        <w:rPr>
          <w:rFonts w:ascii="Helvetica" w:hAnsi="Helvetica" w:cs="Helvetica"/>
          <w:sz w:val="19"/>
          <w:szCs w:val="19"/>
        </w:rPr>
        <w:br/>
        <w:t>=&gt; Not just one divide in access, but inter-related divides, bundled together.</w:t>
      </w:r>
      <w:r>
        <w:rPr>
          <w:rFonts w:ascii="Helvetica" w:hAnsi="Helvetica" w:cs="Helvetica"/>
          <w:sz w:val="19"/>
          <w:szCs w:val="19"/>
        </w:rPr>
        <w:br/>
        <w:t xml:space="preserve">- </w:t>
      </w:r>
      <w:r w:rsidR="001B3CD0">
        <w:rPr>
          <w:rFonts w:ascii="Helvetica" w:hAnsi="Helvetica" w:cs="Helvetica"/>
          <w:sz w:val="19"/>
          <w:szCs w:val="19"/>
        </w:rPr>
        <w:t>This section</w:t>
      </w:r>
      <w:r>
        <w:rPr>
          <w:rFonts w:ascii="Helvetica" w:hAnsi="Helvetica" w:cs="Helvetica"/>
          <w:sz w:val="19"/>
          <w:szCs w:val="19"/>
        </w:rPr>
        <w:t xml:space="preserve"> should explain that </w:t>
      </w:r>
      <w:r w:rsidR="001B3CD0">
        <w:rPr>
          <w:rFonts w:ascii="Helvetica" w:hAnsi="Helvetica" w:cs="Helvetica"/>
          <w:sz w:val="19"/>
          <w:szCs w:val="19"/>
        </w:rPr>
        <w:t>gender divides in access to ICTs</w:t>
      </w:r>
      <w:r>
        <w:rPr>
          <w:rFonts w:ascii="Helvetica" w:hAnsi="Helvetica" w:cs="Helvetica"/>
          <w:sz w:val="19"/>
          <w:szCs w:val="19"/>
        </w:rPr>
        <w:t xml:space="preserve"> is not just a transient issue, but ICTs are </w:t>
      </w:r>
      <w:r w:rsidR="001B3CD0">
        <w:rPr>
          <w:rFonts w:ascii="Helvetica" w:hAnsi="Helvetica" w:cs="Helvetica"/>
          <w:sz w:val="19"/>
          <w:szCs w:val="19"/>
        </w:rPr>
        <w:t>a reflection</w:t>
      </w:r>
      <w:r>
        <w:rPr>
          <w:rFonts w:ascii="Helvetica" w:hAnsi="Helvetica" w:cs="Helvetica"/>
          <w:sz w:val="19"/>
          <w:szCs w:val="19"/>
        </w:rPr>
        <w:t xml:space="preserve"> </w:t>
      </w:r>
      <w:r w:rsidR="001B3CD0">
        <w:rPr>
          <w:rFonts w:ascii="Helvetica" w:hAnsi="Helvetica" w:cs="Helvetica"/>
          <w:sz w:val="19"/>
          <w:szCs w:val="19"/>
        </w:rPr>
        <w:t xml:space="preserve">of </w:t>
      </w:r>
      <w:r>
        <w:rPr>
          <w:rFonts w:ascii="Helvetica" w:hAnsi="Helvetica" w:cs="Helvetica"/>
          <w:sz w:val="19"/>
          <w:szCs w:val="19"/>
        </w:rPr>
        <w:t>far more entrenched / permanent division</w:t>
      </w:r>
      <w:r w:rsidR="001B3CD0">
        <w:rPr>
          <w:rFonts w:ascii="Helvetica" w:hAnsi="Helvetica" w:cs="Helvetica"/>
          <w:sz w:val="19"/>
          <w:szCs w:val="19"/>
        </w:rPr>
        <w:t>s</w:t>
      </w:r>
      <w:r>
        <w:rPr>
          <w:rFonts w:ascii="Helvetica" w:hAnsi="Helvetica" w:cs="Helvetica"/>
          <w:sz w:val="19"/>
          <w:szCs w:val="19"/>
        </w:rPr>
        <w:t xml:space="preserve"> in society.</w:t>
      </w:r>
      <w:r w:rsidR="00387DA9">
        <w:rPr>
          <w:rFonts w:ascii="Helvetica" w:hAnsi="Helvetica" w:cs="Helvetica"/>
          <w:sz w:val="19"/>
          <w:szCs w:val="19"/>
        </w:rPr>
        <w:br/>
        <w:t>- How do these divides come about?</w:t>
      </w:r>
      <w:r>
        <w:rPr>
          <w:rFonts w:ascii="Helvetica" w:hAnsi="Helvetica" w:cs="Helvetica"/>
          <w:sz w:val="19"/>
          <w:szCs w:val="19"/>
        </w:rPr>
        <w:br/>
        <w:t>- It should give ke</w:t>
      </w:r>
      <w:r w:rsidR="00C65AB6" w:rsidRPr="00441377">
        <w:rPr>
          <w:rFonts w:ascii="Helvetica" w:hAnsi="Helvetica" w:cs="Helvetica"/>
          <w:sz w:val="19"/>
          <w:szCs w:val="19"/>
        </w:rPr>
        <w:t>y examples of the potential and concrete evidence for ICTs fostering gender equality</w:t>
      </w:r>
      <w:r w:rsidR="00C15707">
        <w:rPr>
          <w:rFonts w:ascii="Helvetica" w:hAnsi="Helvetica" w:cs="Helvetica"/>
          <w:sz w:val="19"/>
          <w:szCs w:val="19"/>
        </w:rPr>
        <w:t xml:space="preserve"> and empowering women</w:t>
      </w:r>
      <w:r w:rsidR="00C65AB6" w:rsidRPr="00441377">
        <w:rPr>
          <w:rFonts w:ascii="Helvetica" w:hAnsi="Helvetica" w:cs="Helvetica"/>
          <w:sz w:val="19"/>
          <w:szCs w:val="19"/>
        </w:rPr>
        <w:t>.</w:t>
      </w:r>
      <w:r w:rsidR="001B3CD0">
        <w:rPr>
          <w:rFonts w:ascii="Helvetica" w:hAnsi="Helvetica" w:cs="Helvetica"/>
          <w:sz w:val="19"/>
          <w:szCs w:val="19"/>
        </w:rPr>
        <w:br/>
      </w:r>
      <w:r w:rsidR="001B3CD0" w:rsidRPr="001B3CD0">
        <w:rPr>
          <w:rFonts w:ascii="Helvetica" w:hAnsi="Helvetica" w:cs="Helvetica"/>
          <w:i/>
          <w:iCs/>
          <w:sz w:val="19"/>
          <w:szCs w:val="19"/>
        </w:rPr>
        <w:t>Likely contributors: UNDP, UN Women.</w:t>
      </w:r>
      <w:r w:rsidR="001B3CD0" w:rsidRPr="001B3CD0">
        <w:rPr>
          <w:rFonts w:ascii="Helvetica" w:hAnsi="Helvetica" w:cs="Helvetica"/>
          <w:i/>
          <w:iCs/>
          <w:sz w:val="19"/>
          <w:szCs w:val="19"/>
        </w:rPr>
        <w:br/>
      </w:r>
    </w:p>
    <w:p w:rsidR="001B3CD0" w:rsidRDefault="001B3CD0" w:rsidP="001B3CD0">
      <w:pPr>
        <w:widowControl w:val="0"/>
        <w:numPr>
          <w:ilvl w:val="0"/>
          <w:numId w:val="2"/>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1B3CD0">
        <w:rPr>
          <w:rFonts w:ascii="Helvetica" w:hAnsi="Helvetica" w:cs="Helvetica"/>
          <w:b/>
          <w:bCs/>
          <w:sz w:val="19"/>
          <w:szCs w:val="19"/>
        </w:rPr>
        <w:t>Measurement and Monitoring Chapter</w:t>
      </w:r>
      <w:r>
        <w:rPr>
          <w:rFonts w:ascii="Helvetica" w:hAnsi="Helvetica" w:cs="Helvetica"/>
          <w:sz w:val="19"/>
          <w:szCs w:val="19"/>
        </w:rPr>
        <w:t xml:space="preserve"> </w:t>
      </w:r>
      <w:r>
        <w:rPr>
          <w:rFonts w:ascii="Helvetica" w:hAnsi="Helvetica" w:cs="Helvetica"/>
          <w:b/>
          <w:bCs/>
          <w:sz w:val="19"/>
          <w:szCs w:val="19"/>
        </w:rPr>
        <w:t>[</w:t>
      </w:r>
      <w:r>
        <w:rPr>
          <w:rFonts w:ascii="Helvetica" w:hAnsi="Helvetica" w:cs="Helvetica"/>
          <w:b/>
          <w:bCs/>
          <w:i/>
          <w:iCs/>
          <w:sz w:val="19"/>
          <w:szCs w:val="19"/>
        </w:rPr>
        <w:t>Statistics</w:t>
      </w:r>
      <w:r>
        <w:rPr>
          <w:rFonts w:ascii="Helvetica" w:hAnsi="Helvetica" w:cs="Helvetica"/>
          <w:b/>
          <w:bCs/>
          <w:sz w:val="19"/>
          <w:szCs w:val="19"/>
        </w:rPr>
        <w:t>]</w:t>
      </w:r>
      <w:r>
        <w:rPr>
          <w:rFonts w:ascii="Helvetica" w:hAnsi="Helvetica" w:cs="Helvetica"/>
          <w:sz w:val="19"/>
          <w:szCs w:val="19"/>
        </w:rPr>
        <w:br/>
        <w:t>This chapter will provide an overview of the t</w:t>
      </w:r>
      <w:r w:rsidR="00C65AB6" w:rsidRPr="00441377">
        <w:rPr>
          <w:rFonts w:ascii="Helvetica" w:hAnsi="Helvetica" w:cs="Helvetica"/>
          <w:sz w:val="19"/>
          <w:szCs w:val="19"/>
        </w:rPr>
        <w:t>argets and baseli</w:t>
      </w:r>
      <w:r w:rsidR="002865DF">
        <w:rPr>
          <w:rFonts w:ascii="Helvetica" w:hAnsi="Helvetica" w:cs="Helvetica"/>
          <w:sz w:val="19"/>
          <w:szCs w:val="19"/>
        </w:rPr>
        <w:t>ne indicators</w:t>
      </w:r>
      <w:r>
        <w:rPr>
          <w:rFonts w:ascii="Helvetica" w:hAnsi="Helvetica" w:cs="Helvetica"/>
          <w:sz w:val="19"/>
          <w:szCs w:val="19"/>
        </w:rPr>
        <w:t xml:space="preserve"> currently available</w:t>
      </w:r>
      <w:r w:rsidR="002865DF">
        <w:rPr>
          <w:rFonts w:ascii="Helvetica" w:hAnsi="Helvetica" w:cs="Helvetica"/>
          <w:sz w:val="19"/>
          <w:szCs w:val="19"/>
        </w:rPr>
        <w:t xml:space="preserve"> that </w:t>
      </w:r>
      <w:r>
        <w:rPr>
          <w:rFonts w:ascii="Helvetica" w:hAnsi="Helvetica" w:cs="Helvetica"/>
          <w:sz w:val="19"/>
          <w:szCs w:val="19"/>
        </w:rPr>
        <w:t xml:space="preserve">could </w:t>
      </w:r>
      <w:r w:rsidR="002865DF">
        <w:rPr>
          <w:rFonts w:ascii="Helvetica" w:hAnsi="Helvetica" w:cs="Helvetica"/>
          <w:sz w:val="19"/>
          <w:szCs w:val="19"/>
        </w:rPr>
        <w:t>allow policy-</w:t>
      </w:r>
      <w:r w:rsidR="00C65AB6" w:rsidRPr="00441377">
        <w:rPr>
          <w:rFonts w:ascii="Helvetica" w:hAnsi="Helvetica" w:cs="Helvetica"/>
          <w:sz w:val="19"/>
          <w:szCs w:val="19"/>
        </w:rPr>
        <w:t>makers and practitioners to measure progress</w:t>
      </w:r>
      <w:r>
        <w:rPr>
          <w:rFonts w:ascii="Helvetica" w:hAnsi="Helvetica" w:cs="Helvetica"/>
          <w:sz w:val="19"/>
          <w:szCs w:val="19"/>
        </w:rPr>
        <w:t xml:space="preserve"> in bridging, as well as some discussion of the challenges/obstacles currently experienced (data discrepancies, definitions, lack of data availability etc.) and a discussion of desirable indicators that should be available</w:t>
      </w:r>
      <w:r w:rsidR="00C65AB6" w:rsidRPr="00441377">
        <w:rPr>
          <w:rFonts w:ascii="Helvetica" w:hAnsi="Helvetica" w:cs="Helvetica"/>
          <w:sz w:val="19"/>
          <w:szCs w:val="19"/>
        </w:rPr>
        <w:t>.</w:t>
      </w:r>
      <w:r>
        <w:rPr>
          <w:rFonts w:ascii="Helvetica" w:hAnsi="Helvetica" w:cs="Helvetica"/>
          <w:sz w:val="19"/>
          <w:szCs w:val="19"/>
        </w:rPr>
        <w:br/>
        <w:t>It should aim to give a brief overview of the current status of women’s access to ICTs (mobile, the Internet, broadband) and likely evolution.</w:t>
      </w:r>
    </w:p>
    <w:p w:rsidR="001B3CD0" w:rsidRPr="001B3CD0" w:rsidRDefault="001B3CD0" w:rsidP="001B3CD0">
      <w:pPr>
        <w:widowControl w:val="0"/>
        <w:tabs>
          <w:tab w:val="left" w:pos="220"/>
          <w:tab w:val="left" w:pos="720"/>
        </w:tabs>
        <w:autoSpaceDE w:val="0"/>
        <w:autoSpaceDN w:val="0"/>
        <w:adjustRightInd w:val="0"/>
        <w:spacing w:before="240" w:after="240" w:line="280" w:lineRule="atLeast"/>
        <w:ind w:left="720"/>
        <w:contextualSpacing/>
        <w:rPr>
          <w:rFonts w:ascii="Helvetica" w:hAnsi="Helvetica" w:cs="Helvetica"/>
          <w:i/>
          <w:iCs/>
          <w:sz w:val="19"/>
          <w:szCs w:val="19"/>
        </w:rPr>
      </w:pPr>
      <w:r w:rsidRPr="001B3CD0">
        <w:rPr>
          <w:rFonts w:ascii="Helvetica" w:hAnsi="Helvetica" w:cs="Helvetica"/>
          <w:i/>
          <w:iCs/>
          <w:sz w:val="19"/>
          <w:szCs w:val="19"/>
        </w:rPr>
        <w:t>Likely contributors: ITU, PMIS, Nancy Hafkin (?).</w:t>
      </w:r>
      <w:r w:rsidRPr="001B3CD0">
        <w:rPr>
          <w:rFonts w:ascii="Helvetica" w:hAnsi="Helvetica" w:cs="Helvetica"/>
          <w:i/>
          <w:iCs/>
          <w:sz w:val="19"/>
          <w:szCs w:val="19"/>
        </w:rPr>
        <w:br/>
      </w:r>
    </w:p>
    <w:p w:rsidR="00C65AB6" w:rsidRDefault="001B3CD0" w:rsidP="00387DA9">
      <w:pPr>
        <w:widowControl w:val="0"/>
        <w:numPr>
          <w:ilvl w:val="0"/>
          <w:numId w:val="2"/>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Pr>
          <w:rFonts w:ascii="Helvetica" w:hAnsi="Helvetica" w:cs="Helvetica"/>
          <w:b/>
          <w:bCs/>
          <w:sz w:val="19"/>
          <w:szCs w:val="19"/>
        </w:rPr>
        <w:t>Policy tools and Best Practices</w:t>
      </w:r>
      <w:r>
        <w:rPr>
          <w:rFonts w:ascii="Helvetica" w:hAnsi="Helvetica" w:cs="Helvetica"/>
          <w:sz w:val="19"/>
          <w:szCs w:val="19"/>
        </w:rPr>
        <w:br/>
        <w:t>This chapter will give an overview of some of the different policy tools, best practices and successful experiences from around the world.  What has worked, and what hasn</w:t>
      </w:r>
      <w:r>
        <w:rPr>
          <w:rFonts w:ascii="Helvetica" w:hAnsi="Helvetica" w:cs="Helvetica"/>
          <w:sz w:val="19"/>
          <w:szCs w:val="19"/>
          <w:rtl/>
          <w:cs/>
        </w:rPr>
        <w:t>‎</w:t>
      </w:r>
      <w:r>
        <w:rPr>
          <w:rFonts w:ascii="Helvetica" w:hAnsi="Helvetica" w:cs="Helvetica"/>
          <w:sz w:val="19"/>
          <w:szCs w:val="19"/>
        </w:rPr>
        <w:t>’t?  Are</w:t>
      </w:r>
      <w:r w:rsidR="00387DA9">
        <w:rPr>
          <w:rFonts w:ascii="Helvetica" w:hAnsi="Helvetica" w:cs="Helvetica"/>
          <w:sz w:val="19"/>
          <w:szCs w:val="19"/>
        </w:rPr>
        <w:t xml:space="preserve"> National Plans and/or</w:t>
      </w:r>
      <w:r>
        <w:rPr>
          <w:rFonts w:ascii="Helvetica" w:hAnsi="Helvetica" w:cs="Helvetica"/>
          <w:sz w:val="19"/>
          <w:szCs w:val="19"/>
        </w:rPr>
        <w:t xml:space="preserve"> quotas</w:t>
      </w:r>
      <w:r w:rsidR="00387DA9">
        <w:rPr>
          <w:rFonts w:ascii="Helvetica" w:hAnsi="Helvetica" w:cs="Helvetica"/>
          <w:sz w:val="19"/>
          <w:szCs w:val="19"/>
        </w:rPr>
        <w:t xml:space="preserve"> for access</w:t>
      </w:r>
      <w:r>
        <w:rPr>
          <w:rFonts w:ascii="Helvetica" w:hAnsi="Helvetica" w:cs="Helvetica"/>
          <w:sz w:val="19"/>
          <w:szCs w:val="19"/>
        </w:rPr>
        <w:t xml:space="preserve"> helpful</w:t>
      </w:r>
      <w:r w:rsidR="00387DA9">
        <w:rPr>
          <w:rFonts w:ascii="Helvetica" w:hAnsi="Helvetica" w:cs="Helvetica"/>
          <w:sz w:val="19"/>
          <w:szCs w:val="19"/>
        </w:rPr>
        <w:t xml:space="preserve"> or a blunt tool</w:t>
      </w:r>
      <w:r>
        <w:rPr>
          <w:rFonts w:ascii="Helvetica" w:hAnsi="Helvetica" w:cs="Helvetica"/>
          <w:sz w:val="19"/>
          <w:szCs w:val="19"/>
        </w:rPr>
        <w:t>?</w:t>
      </w:r>
      <w:r w:rsidR="00387DA9">
        <w:rPr>
          <w:rFonts w:ascii="Helvetica" w:hAnsi="Helvetica" w:cs="Helvetica"/>
          <w:sz w:val="19"/>
          <w:szCs w:val="19"/>
        </w:rPr>
        <w:t xml:space="preserve">  Is it possible to change incentives, let alone some of the entrenched attitudes in different countries around the world?  What are the key obstacles faced in eliminating gender divides in access and use of ICTs, and how can these be overcome?</w:t>
      </w:r>
      <w:r w:rsidR="00387DA9">
        <w:rPr>
          <w:rFonts w:ascii="Helvetica" w:hAnsi="Helvetica" w:cs="Helvetica"/>
          <w:sz w:val="19"/>
          <w:szCs w:val="19"/>
        </w:rPr>
        <w:br/>
        <w:t>It should also cite some examples and successful case studies, identifying why/how these proved successful.</w:t>
      </w:r>
    </w:p>
    <w:p w:rsidR="001B3CD0" w:rsidRPr="00387DA9" w:rsidRDefault="001B3CD0" w:rsidP="001B3CD0">
      <w:pPr>
        <w:widowControl w:val="0"/>
        <w:tabs>
          <w:tab w:val="left" w:pos="220"/>
          <w:tab w:val="left" w:pos="720"/>
        </w:tabs>
        <w:autoSpaceDE w:val="0"/>
        <w:autoSpaceDN w:val="0"/>
        <w:adjustRightInd w:val="0"/>
        <w:spacing w:before="240" w:after="240" w:line="280" w:lineRule="atLeast"/>
        <w:contextualSpacing/>
        <w:rPr>
          <w:rFonts w:ascii="Helvetica" w:hAnsi="Helvetica" w:cs="Helvetica"/>
          <w:i/>
          <w:iCs/>
          <w:sz w:val="19"/>
          <w:szCs w:val="19"/>
        </w:rPr>
      </w:pPr>
      <w:r w:rsidRPr="00387DA9">
        <w:rPr>
          <w:rFonts w:ascii="Helvetica" w:hAnsi="Helvetica" w:cs="Helvetica"/>
          <w:i/>
          <w:iCs/>
          <w:sz w:val="19"/>
          <w:szCs w:val="19"/>
        </w:rPr>
        <w:tab/>
      </w:r>
      <w:r w:rsidRPr="00387DA9">
        <w:rPr>
          <w:rFonts w:ascii="Helvetica" w:hAnsi="Helvetica" w:cs="Helvetica"/>
          <w:i/>
          <w:iCs/>
          <w:sz w:val="19"/>
          <w:szCs w:val="19"/>
        </w:rPr>
        <w:tab/>
        <w:t>Likely contributors: ITU, WICTAD.</w:t>
      </w:r>
      <w:r w:rsidRPr="00387DA9">
        <w:rPr>
          <w:rFonts w:ascii="Helvetica" w:hAnsi="Helvetica" w:cs="Helvetica"/>
          <w:i/>
          <w:iCs/>
          <w:sz w:val="19"/>
          <w:szCs w:val="19"/>
        </w:rPr>
        <w:br/>
      </w:r>
    </w:p>
    <w:p w:rsidR="0091507E" w:rsidRPr="001B3CD0" w:rsidRDefault="001B3CD0" w:rsidP="00387DA9">
      <w:pPr>
        <w:widowControl w:val="0"/>
        <w:numPr>
          <w:ilvl w:val="0"/>
          <w:numId w:val="2"/>
        </w:numPr>
        <w:tabs>
          <w:tab w:val="left" w:pos="220"/>
          <w:tab w:val="left" w:pos="720"/>
        </w:tabs>
        <w:autoSpaceDE w:val="0"/>
        <w:autoSpaceDN w:val="0"/>
        <w:adjustRightInd w:val="0"/>
        <w:spacing w:before="240" w:after="240" w:line="280" w:lineRule="atLeast"/>
        <w:contextualSpacing/>
        <w:rPr>
          <w:rFonts w:ascii="Helvetica" w:hAnsi="Helvetica" w:cs="Helvetica"/>
          <w:sz w:val="19"/>
          <w:szCs w:val="19"/>
        </w:rPr>
      </w:pPr>
      <w:r w:rsidRPr="001B3CD0">
        <w:rPr>
          <w:rFonts w:ascii="Helvetica" w:hAnsi="Helvetica" w:cs="Helvetica"/>
          <w:b/>
          <w:bCs/>
          <w:sz w:val="19"/>
          <w:szCs w:val="19"/>
        </w:rPr>
        <w:t xml:space="preserve">Conclusions &amp; </w:t>
      </w:r>
      <w:r w:rsidR="0091507E" w:rsidRPr="001B3CD0">
        <w:rPr>
          <w:rFonts w:ascii="Helvetica" w:hAnsi="Helvetica" w:cs="Helvetica"/>
          <w:b/>
          <w:bCs/>
          <w:sz w:val="19"/>
          <w:szCs w:val="19"/>
        </w:rPr>
        <w:t>Policy recommendations</w:t>
      </w:r>
      <w:r w:rsidRPr="001B3CD0">
        <w:rPr>
          <w:rFonts w:ascii="Helvetica" w:hAnsi="Helvetica" w:cs="Helvetica"/>
          <w:sz w:val="19"/>
          <w:szCs w:val="19"/>
        </w:rPr>
        <w:br/>
        <w:t xml:space="preserve">This chapter should </w:t>
      </w:r>
      <w:r w:rsidR="00387DA9">
        <w:rPr>
          <w:rFonts w:ascii="Helvetica" w:hAnsi="Helvetica" w:cs="Helvetica"/>
          <w:sz w:val="19"/>
          <w:szCs w:val="19"/>
        </w:rPr>
        <w:t>summarize the key findings of the Report (clearly linked with the first Executive Summary chapter) and provide some policy recommendations.</w:t>
      </w:r>
    </w:p>
    <w:p w:rsidR="001B3CD0" w:rsidRPr="00441377" w:rsidRDefault="00387DA9" w:rsidP="00F13FB8">
      <w:pPr>
        <w:widowControl w:val="0"/>
        <w:tabs>
          <w:tab w:val="left" w:pos="220"/>
          <w:tab w:val="left" w:pos="720"/>
        </w:tabs>
        <w:autoSpaceDE w:val="0"/>
        <w:autoSpaceDN w:val="0"/>
        <w:adjustRightInd w:val="0"/>
        <w:spacing w:before="240" w:after="240" w:line="280" w:lineRule="atLeast"/>
        <w:ind w:left="720"/>
        <w:contextualSpacing/>
        <w:rPr>
          <w:rFonts w:ascii="Helvetica" w:hAnsi="Helvetica" w:cs="Helvetica"/>
          <w:sz w:val="19"/>
          <w:szCs w:val="19"/>
        </w:rPr>
      </w:pPr>
      <w:r w:rsidRPr="001B3CD0">
        <w:rPr>
          <w:rFonts w:ascii="Helvetica" w:hAnsi="Helvetica" w:cs="Helvetica"/>
          <w:i/>
          <w:iCs/>
          <w:sz w:val="19"/>
          <w:szCs w:val="19"/>
        </w:rPr>
        <w:t>Likely contributors: all members of the Working Group, compiled/edited by ITU</w:t>
      </w:r>
      <w:r w:rsidR="00F13FB8">
        <w:rPr>
          <w:rFonts w:ascii="Helvetica" w:hAnsi="Helvetica" w:cs="Helvetica"/>
          <w:i/>
          <w:iCs/>
          <w:sz w:val="19"/>
          <w:szCs w:val="19"/>
        </w:rPr>
        <w:t xml:space="preserve">, </w:t>
      </w:r>
      <w:r w:rsidRPr="001B3CD0">
        <w:rPr>
          <w:rFonts w:ascii="Helvetica" w:hAnsi="Helvetica" w:cs="Helvetica"/>
          <w:i/>
          <w:iCs/>
          <w:sz w:val="19"/>
          <w:szCs w:val="19"/>
        </w:rPr>
        <w:t>reviewed by UNDP</w:t>
      </w:r>
      <w:r w:rsidR="00F13FB8">
        <w:rPr>
          <w:rFonts w:ascii="Helvetica" w:hAnsi="Helvetica" w:cs="Helvetica"/>
          <w:i/>
          <w:iCs/>
          <w:sz w:val="19"/>
          <w:szCs w:val="19"/>
        </w:rPr>
        <w:t xml:space="preserve"> </w:t>
      </w:r>
      <w:r w:rsidRPr="001B3CD0">
        <w:rPr>
          <w:rFonts w:ascii="Helvetica" w:hAnsi="Helvetica" w:cs="Helvetica"/>
          <w:i/>
          <w:iCs/>
          <w:sz w:val="19"/>
          <w:szCs w:val="19"/>
        </w:rPr>
        <w:t>(?).</w:t>
      </w:r>
      <w:r>
        <w:rPr>
          <w:rFonts w:ascii="Helvetica" w:hAnsi="Helvetica" w:cs="Helvetica"/>
          <w:sz w:val="19"/>
          <w:szCs w:val="19"/>
        </w:rPr>
        <w:br/>
      </w:r>
    </w:p>
    <w:p w:rsidR="00C65AB6" w:rsidRPr="00F13FB8" w:rsidRDefault="00F13FB8" w:rsidP="00F13FB8">
      <w:pPr>
        <w:widowControl w:val="0"/>
        <w:autoSpaceDE w:val="0"/>
        <w:autoSpaceDN w:val="0"/>
        <w:adjustRightInd w:val="0"/>
        <w:spacing w:before="240" w:after="240" w:line="280" w:lineRule="atLeast"/>
        <w:rPr>
          <w:rFonts w:ascii="Helvetica" w:hAnsi="Helvetica" w:cs="Helvetica"/>
          <w:sz w:val="19"/>
          <w:szCs w:val="19"/>
        </w:rPr>
      </w:pPr>
      <w:r>
        <w:rPr>
          <w:rFonts w:ascii="Helvetica" w:hAnsi="Helvetica" w:cs="Helvetica"/>
          <w:b/>
          <w:bCs/>
          <w:sz w:val="19"/>
          <w:szCs w:val="19"/>
        </w:rPr>
        <w:br/>
      </w:r>
      <w:r w:rsidR="00C65AB6" w:rsidRPr="00441377">
        <w:rPr>
          <w:rFonts w:ascii="Helvetica" w:hAnsi="Helvetica" w:cs="Helvetica"/>
          <w:b/>
          <w:bCs/>
          <w:sz w:val="19"/>
          <w:szCs w:val="19"/>
        </w:rPr>
        <w:t xml:space="preserve">Report </w:t>
      </w:r>
      <w:r w:rsidR="002865DF">
        <w:rPr>
          <w:rFonts w:ascii="Helvetica" w:hAnsi="Helvetica" w:cs="Helvetica"/>
          <w:b/>
          <w:bCs/>
          <w:sz w:val="19"/>
          <w:szCs w:val="19"/>
        </w:rPr>
        <w:t>timeline</w:t>
      </w:r>
      <w:r>
        <w:rPr>
          <w:rFonts w:ascii="Helvetica" w:hAnsi="Helvetica" w:cs="Helvetica"/>
          <w:b/>
          <w:bCs/>
          <w:sz w:val="19"/>
          <w:szCs w:val="19"/>
        </w:rPr>
        <w:br/>
      </w:r>
      <w:r>
        <w:rPr>
          <w:rFonts w:ascii="Helvetica" w:hAnsi="Helvetica" w:cs="Helvetica"/>
          <w:sz w:val="19"/>
          <w:szCs w:val="19"/>
        </w:rPr>
        <w:t>A fairly tight timeline is foreseen for the report, which will rely on rapid turnaround by the ITU editorial team, especially over the summer holiday period. Provided experts respect deadlines for submission of contributions, it should be possible to circulate two drafts among the Working Group for review (21 June, comments by end June; 12 July, comments by end July), hopefully with a Final Draft for review 10 August MISTAKES-ONLY (it may be necessary to reflect late contributions in the second draft only).</w:t>
      </w:r>
    </w:p>
    <w:p w:rsidR="00C65AB6" w:rsidRPr="00441377" w:rsidRDefault="00F13FB8" w:rsidP="00F13FB8">
      <w:pPr>
        <w:widowControl w:val="0"/>
        <w:tabs>
          <w:tab w:val="left" w:pos="220"/>
          <w:tab w:val="left" w:pos="720"/>
        </w:tabs>
        <w:autoSpaceDE w:val="0"/>
        <w:autoSpaceDN w:val="0"/>
        <w:adjustRightInd w:val="0"/>
        <w:spacing w:before="240" w:after="240" w:line="280" w:lineRule="atLeast"/>
        <w:jc w:val="center"/>
        <w:rPr>
          <w:rFonts w:ascii="Helvetica" w:hAnsi="Helvetica" w:cs="Helvetica"/>
          <w:sz w:val="19"/>
          <w:szCs w:val="19"/>
        </w:rPr>
      </w:pPr>
      <w:r>
        <w:rPr>
          <w:rFonts w:ascii="Helvetica" w:hAnsi="Helvetica" w:cs="Helvetica"/>
          <w:noProof/>
          <w:sz w:val="19"/>
          <w:szCs w:val="19"/>
          <w:lang w:eastAsia="zh-CN"/>
        </w:rPr>
        <w:drawing>
          <wp:inline distT="0" distB="0" distL="0" distR="0">
            <wp:extent cx="5780405" cy="21786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80405" cy="2178685"/>
                    </a:xfrm>
                    <a:prstGeom prst="rect">
                      <a:avLst/>
                    </a:prstGeom>
                    <a:noFill/>
                    <a:ln w="9525">
                      <a:noFill/>
                      <a:miter lim="800000"/>
                      <a:headEnd/>
                      <a:tailEnd/>
                    </a:ln>
                  </pic:spPr>
                </pic:pic>
              </a:graphicData>
            </a:graphic>
          </wp:inline>
        </w:drawing>
      </w:r>
      <w:r w:rsidR="00C65AB6" w:rsidRPr="00441377">
        <w:rPr>
          <w:rFonts w:ascii="Helvetica" w:hAnsi="Helvetica" w:cs="Helvetica"/>
          <w:sz w:val="19"/>
          <w:szCs w:val="19"/>
        </w:rPr>
        <w:br/>
        <w:t>.</w:t>
      </w:r>
    </w:p>
    <w:p w:rsidR="00C65AB6" w:rsidRPr="00441377" w:rsidRDefault="008C4667" w:rsidP="008C4667">
      <w:pPr>
        <w:widowControl w:val="0"/>
        <w:autoSpaceDE w:val="0"/>
        <w:autoSpaceDN w:val="0"/>
        <w:adjustRightInd w:val="0"/>
        <w:spacing w:before="240" w:after="240" w:line="280" w:lineRule="atLeast"/>
        <w:rPr>
          <w:rFonts w:ascii="Helvetica" w:hAnsi="Helvetica" w:cs="Helvetica"/>
          <w:b/>
          <w:bCs/>
          <w:sz w:val="19"/>
          <w:szCs w:val="19"/>
        </w:rPr>
      </w:pPr>
      <w:r>
        <w:rPr>
          <w:rFonts w:ascii="Helvetica" w:hAnsi="Helvetica" w:cs="Helvetica"/>
          <w:b/>
          <w:bCs/>
          <w:sz w:val="19"/>
          <w:szCs w:val="19"/>
        </w:rPr>
        <w:t xml:space="preserve">Production, </w:t>
      </w:r>
      <w:r w:rsidR="00C65AB6" w:rsidRPr="00441377">
        <w:rPr>
          <w:rFonts w:ascii="Helvetica" w:hAnsi="Helvetica" w:cs="Helvetica"/>
          <w:b/>
          <w:bCs/>
          <w:sz w:val="19"/>
          <w:szCs w:val="19"/>
        </w:rPr>
        <w:t>dissemination</w:t>
      </w:r>
      <w:r>
        <w:rPr>
          <w:rFonts w:ascii="Helvetica" w:hAnsi="Helvetica" w:cs="Helvetica"/>
          <w:b/>
          <w:bCs/>
          <w:sz w:val="19"/>
          <w:szCs w:val="19"/>
        </w:rPr>
        <w:t xml:space="preserve"> &amp; follow-up</w:t>
      </w:r>
    </w:p>
    <w:p w:rsidR="00C65AB6" w:rsidRDefault="00C65AB6" w:rsidP="00F13FB8">
      <w:pPr>
        <w:widowControl w:val="0"/>
        <w:autoSpaceDE w:val="0"/>
        <w:autoSpaceDN w:val="0"/>
        <w:adjustRightInd w:val="0"/>
        <w:spacing w:before="240" w:after="240" w:line="280" w:lineRule="atLeast"/>
      </w:pPr>
      <w:r w:rsidRPr="00441377">
        <w:rPr>
          <w:rFonts w:ascii="Helvetica" w:hAnsi="Helvetica" w:cs="Helvetica"/>
          <w:sz w:val="19"/>
          <w:szCs w:val="19"/>
        </w:rPr>
        <w:t xml:space="preserve">The Report will be interactive and produced to be online. </w:t>
      </w:r>
      <w:r w:rsidR="00F13FB8">
        <w:rPr>
          <w:rFonts w:ascii="Helvetica" w:hAnsi="Helvetica" w:cs="Helvetica"/>
          <w:sz w:val="19"/>
          <w:szCs w:val="19"/>
        </w:rPr>
        <w:t>It is estimated that about 120 copies will be needed for the launch of the report, prior to the New York meeting.</w:t>
      </w:r>
      <w:r w:rsidRPr="00441377">
        <w:rPr>
          <w:rFonts w:ascii="Helvetica" w:hAnsi="Helvetica" w:cs="Helvetica"/>
          <w:sz w:val="19"/>
          <w:szCs w:val="19"/>
        </w:rPr>
        <w:t xml:space="preserve"> Dynamic content will be tailored for different audiences, locations or stakeholders.</w:t>
      </w:r>
      <w:r w:rsidR="00F13FB8">
        <w:rPr>
          <w:rFonts w:ascii="Helvetica" w:hAnsi="Helvetica" w:cs="Helvetica"/>
          <w:sz w:val="19"/>
          <w:szCs w:val="19"/>
        </w:rPr>
        <w:t xml:space="preserve"> An active</w:t>
      </w:r>
      <w:r w:rsidRPr="00441377">
        <w:rPr>
          <w:rFonts w:ascii="Helvetica" w:hAnsi="Helvetica" w:cs="Helvetica"/>
          <w:sz w:val="19"/>
          <w:szCs w:val="19"/>
        </w:rPr>
        <w:t xml:space="preserve"> social media campaign and communications strategy will be developed by the WG with the Commission Secretariat, and the report will be disseminated using innovative media, and new channels and networks. </w:t>
      </w:r>
    </w:p>
    <w:sectPr w:rsidR="00C65AB6" w:rsidSect="00B774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charset w:val="50"/>
    <w:family w:val="auto"/>
    <w:pitch w:val="variable"/>
    <w:sig w:usb0="00000000"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EB5"/>
    <w:multiLevelType w:val="hybridMultilevel"/>
    <w:tmpl w:val="31D4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80B3D"/>
    <w:multiLevelType w:val="hybridMultilevel"/>
    <w:tmpl w:val="9C6E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93002"/>
    <w:multiLevelType w:val="hybridMultilevel"/>
    <w:tmpl w:val="EF60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35190"/>
    <w:multiLevelType w:val="hybridMultilevel"/>
    <w:tmpl w:val="AE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C65AB6"/>
    <w:rsid w:val="001B3CD0"/>
    <w:rsid w:val="002865DF"/>
    <w:rsid w:val="00345DBE"/>
    <w:rsid w:val="00387DA9"/>
    <w:rsid w:val="008C4667"/>
    <w:rsid w:val="0091507E"/>
    <w:rsid w:val="009A4476"/>
    <w:rsid w:val="00B774D2"/>
    <w:rsid w:val="00C15707"/>
    <w:rsid w:val="00C65AB6"/>
    <w:rsid w:val="00F13FB8"/>
    <w:rsid w:val="00F50F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B6"/>
    <w:pPr>
      <w:spacing w:after="0" w:line="240" w:lineRule="auto"/>
    </w:pPr>
    <w:rPr>
      <w:rFonts w:ascii="Cambria" w:eastAsia="MS Mincho" w:hAnsi="Cambria" w:cs="Times New Roman"/>
      <w:sz w:val="24"/>
      <w:szCs w:val="24"/>
      <w:lang w:eastAsia="en-US"/>
    </w:rPr>
  </w:style>
  <w:style w:type="paragraph" w:styleId="Heading1">
    <w:name w:val="heading 1"/>
    <w:basedOn w:val="Normal"/>
    <w:next w:val="Normal"/>
    <w:link w:val="Heading1Char"/>
    <w:uiPriority w:val="9"/>
    <w:qFormat/>
    <w:rsid w:val="00C65AB6"/>
    <w:pPr>
      <w:keepNext/>
      <w:spacing w:before="240" w:after="60"/>
      <w:outlineLvl w:val="0"/>
    </w:pPr>
    <w:rPr>
      <w:rFonts w:ascii="Helvetica" w:eastAsia="MS Gothic" w:hAnsi="Helvetica"/>
      <w:b/>
      <w:bCs/>
      <w:color w:val="4F81BD"/>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B6"/>
    <w:rPr>
      <w:rFonts w:ascii="Helvetica" w:eastAsia="MS Gothic" w:hAnsi="Helvetica" w:cs="Times New Roman"/>
      <w:b/>
      <w:bCs/>
      <w:color w:val="4F81BD"/>
      <w:kern w:val="32"/>
      <w:sz w:val="24"/>
      <w:szCs w:val="32"/>
      <w:lang w:eastAsia="en-US"/>
    </w:rPr>
  </w:style>
  <w:style w:type="character" w:styleId="Hyperlink">
    <w:name w:val="Hyperlink"/>
    <w:uiPriority w:val="99"/>
    <w:unhideWhenUsed/>
    <w:rsid w:val="00C65AB6"/>
    <w:rPr>
      <w:color w:val="0000FF"/>
      <w:u w:val="single"/>
    </w:rPr>
  </w:style>
  <w:style w:type="paragraph" w:styleId="ListParagraph">
    <w:name w:val="List Paragraph"/>
    <w:basedOn w:val="Normal"/>
    <w:uiPriority w:val="34"/>
    <w:qFormat/>
    <w:rsid w:val="00387DA9"/>
    <w:pPr>
      <w:ind w:left="720"/>
      <w:contextualSpacing/>
    </w:pPr>
  </w:style>
  <w:style w:type="paragraph" w:styleId="BalloonText">
    <w:name w:val="Balloon Text"/>
    <w:basedOn w:val="Normal"/>
    <w:link w:val="BalloonTextChar"/>
    <w:uiPriority w:val="99"/>
    <w:semiHidden/>
    <w:unhideWhenUsed/>
    <w:rsid w:val="00387DA9"/>
    <w:rPr>
      <w:rFonts w:ascii="Tahoma" w:hAnsi="Tahoma" w:cs="Tahoma"/>
      <w:sz w:val="16"/>
      <w:szCs w:val="16"/>
    </w:rPr>
  </w:style>
  <w:style w:type="character" w:customStyle="1" w:styleId="BalloonTextChar">
    <w:name w:val="Balloon Text Char"/>
    <w:basedOn w:val="DefaultParagraphFont"/>
    <w:link w:val="BalloonText"/>
    <w:uiPriority w:val="99"/>
    <w:semiHidden/>
    <w:rsid w:val="00387DA9"/>
    <w:rPr>
      <w:rFonts w:ascii="Tahoma" w:eastAsia="MS Mincho"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dc:creator>
  <cp:keywords/>
  <dc:description/>
  <cp:lastModifiedBy>biggs</cp:lastModifiedBy>
  <cp:revision>3</cp:revision>
  <dcterms:created xsi:type="dcterms:W3CDTF">2013-05-22T14:53:00Z</dcterms:created>
  <dcterms:modified xsi:type="dcterms:W3CDTF">2013-05-28T12:53:00Z</dcterms:modified>
</cp:coreProperties>
</file>