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7d4baef98abb469f" Type="http://schemas.microsoft.com/office/2006/relationships/ui/extensibility" Target="customUI/customUI.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Blank"/>
        <w:tblpPr w:rightFromText="284" w:bottomFromText="284" w:horzAnchor="margin" w:tblpYSpec="top"/>
        <w:tblOverlap w:val="never"/>
        <w:tblW w:w="0" w:type="auto"/>
        <w:tblLook w:val="04A0" w:firstRow="1" w:lastRow="0" w:firstColumn="1" w:lastColumn="0" w:noHBand="0" w:noVBand="1"/>
      </w:tblPr>
      <w:tblGrid>
        <w:gridCol w:w="2556"/>
      </w:tblGrid>
      <w:tr w:rsidR="009F76EA" w14:paraId="42A6AE3E" w14:textId="77777777" w:rsidTr="009F156C">
        <w:tc>
          <w:tcPr>
            <w:tcW w:w="2556" w:type="dxa"/>
          </w:tcPr>
          <w:p w14:paraId="78A3E575" w14:textId="77777777" w:rsidR="009F76EA" w:rsidRDefault="009F76EA" w:rsidP="009F76EA">
            <w:bookmarkStart w:id="0" w:name="_Toc280111038"/>
            <w:r>
              <w:rPr>
                <w:noProof/>
                <w:lang w:eastAsia="en-GB"/>
              </w:rPr>
              <w:drawing>
                <wp:inline distT="0" distB="0" distL="0" distR="0" wp14:anchorId="7659E6F9" wp14:editId="71FEE639">
                  <wp:extent cx="1623240" cy="1623240"/>
                  <wp:effectExtent l="0" t="0" r="0" b="0"/>
                  <wp:docPr id="1" name="Picture 1" descr="Q:\communications for comms staff\publications\logos\ODI_Logo\circle\odi_circle_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communications for comms staff\publications\logos\ODI_Logo\circle\odi_circle_logo_blu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23240" cy="1623240"/>
                          </a:xfrm>
                          <a:prstGeom prst="rect">
                            <a:avLst/>
                          </a:prstGeom>
                          <a:noFill/>
                          <a:ln w="9525">
                            <a:noFill/>
                            <a:miter lim="800000"/>
                            <a:headEnd/>
                            <a:tailEnd/>
                          </a:ln>
                        </pic:spPr>
                      </pic:pic>
                    </a:graphicData>
                  </a:graphic>
                </wp:inline>
              </w:drawing>
            </w:r>
          </w:p>
        </w:tc>
      </w:tr>
    </w:tbl>
    <w:bookmarkEnd w:id="0"/>
    <w:p w14:paraId="0F775A37" w14:textId="77777777" w:rsidR="009F76EA" w:rsidRPr="00BA57CA" w:rsidRDefault="009F76EA" w:rsidP="009F76EA">
      <w:pPr>
        <w:pStyle w:val="BodyText"/>
        <w:jc w:val="left"/>
        <w:rPr>
          <w:rFonts w:ascii="Trebuchet MS" w:eastAsia="Times New Roman" w:hAnsi="Trebuchet MS"/>
          <w:b/>
          <w:bCs/>
          <w:color w:val="5D75A9" w:themeColor="accent2"/>
          <w:sz w:val="40"/>
          <w:szCs w:val="40"/>
        </w:rPr>
      </w:pPr>
      <w:r w:rsidRPr="00BA57CA">
        <w:rPr>
          <w:rFonts w:ascii="Trebuchet MS" w:eastAsia="Times New Roman" w:hAnsi="Trebuchet MS"/>
          <w:b/>
          <w:bCs/>
          <w:color w:val="5D75A9" w:themeColor="accent2"/>
          <w:sz w:val="40"/>
          <w:szCs w:val="40"/>
        </w:rPr>
        <w:t>The relationship between democratic governance and MDG achievement</w:t>
      </w:r>
    </w:p>
    <w:p w14:paraId="70CCB3B7" w14:textId="77777777" w:rsidR="009F76EA" w:rsidRDefault="009F76EA" w:rsidP="009F76EA">
      <w:pPr>
        <w:pStyle w:val="BodyText"/>
      </w:pPr>
      <w:r w:rsidRPr="00AF1C36">
        <w:rPr>
          <w:rFonts w:ascii="Trebuchet MS" w:eastAsia="Times New Roman" w:hAnsi="Trebuchet MS"/>
          <w:b/>
          <w:bCs/>
          <w:color w:val="5D75A9" w:themeColor="accent2"/>
          <w:sz w:val="38"/>
          <w:szCs w:val="28"/>
        </w:rPr>
        <w:t>Annotated outline, May 2012</w:t>
      </w:r>
    </w:p>
    <w:p w14:paraId="7817551C" w14:textId="77777777" w:rsidR="009F76EA" w:rsidRDefault="009F76EA" w:rsidP="009F76EA">
      <w:pPr>
        <w:pStyle w:val="BodyText"/>
      </w:pPr>
    </w:p>
    <w:p w14:paraId="32290716" w14:textId="77777777" w:rsidR="009F76EA" w:rsidRDefault="009F76EA" w:rsidP="009F76EA">
      <w:pPr>
        <w:pStyle w:val="BodyText"/>
      </w:pPr>
    </w:p>
    <w:p w14:paraId="6B01B0D4" w14:textId="77777777" w:rsidR="009F76EA" w:rsidRDefault="009F76EA" w:rsidP="009F76EA">
      <w:pPr>
        <w:pStyle w:val="BodyText"/>
      </w:pPr>
    </w:p>
    <w:p w14:paraId="3AE9AD0D" w14:textId="77777777" w:rsidR="009F76EA" w:rsidRDefault="009F76EA" w:rsidP="009F76EA">
      <w:pPr>
        <w:pStyle w:val="BodyText"/>
      </w:pPr>
    </w:p>
    <w:p w14:paraId="31A0A51D" w14:textId="77777777" w:rsidR="009F76EA" w:rsidRPr="00AF1C36" w:rsidRDefault="009F76EA" w:rsidP="009F76EA">
      <w:pPr>
        <w:pStyle w:val="BodyText"/>
        <w:rPr>
          <w:rFonts w:ascii="Trebuchet MS" w:eastAsia="Times New Roman" w:hAnsi="Trebuchet MS"/>
          <w:color w:val="5D75A9" w:themeColor="accent2"/>
          <w:sz w:val="26"/>
          <w:szCs w:val="26"/>
        </w:rPr>
      </w:pPr>
      <w:r w:rsidRPr="00AF1C36">
        <w:rPr>
          <w:rFonts w:ascii="Trebuchet MS" w:eastAsia="Times New Roman" w:hAnsi="Trebuchet MS"/>
          <w:color w:val="5D75A9" w:themeColor="accent2"/>
          <w:sz w:val="26"/>
          <w:szCs w:val="26"/>
        </w:rPr>
        <w:t>Executive summary (2 pages)</w:t>
      </w:r>
    </w:p>
    <w:p w14:paraId="7AEB17C2" w14:textId="77777777" w:rsidR="009F76EA" w:rsidRPr="00BC245D" w:rsidRDefault="009F76EA" w:rsidP="009F76EA">
      <w:pPr>
        <w:pStyle w:val="BodyText"/>
        <w:rPr>
          <w:rFonts w:ascii="Trebuchet MS" w:eastAsia="Times New Roman" w:hAnsi="Trebuchet MS"/>
          <w:sz w:val="22"/>
        </w:rPr>
      </w:pPr>
      <w:r w:rsidRPr="00BC245D">
        <w:rPr>
          <w:rFonts w:ascii="Trebuchet MS" w:eastAsia="Times New Roman" w:hAnsi="Trebuchet MS"/>
          <w:sz w:val="22"/>
        </w:rPr>
        <w:t>An Executive Summary will set out the main arguments of the paper, which aims to review some of the latest evidence, bringing together current understandings of the key political and governance (including democratic governance) features which shape development outcomes and processes</w:t>
      </w:r>
      <w:r>
        <w:rPr>
          <w:rFonts w:ascii="Trebuchet MS" w:eastAsia="Times New Roman" w:hAnsi="Trebuchet MS"/>
          <w:sz w:val="22"/>
        </w:rPr>
        <w:t xml:space="preserve"> for MDG achievement</w:t>
      </w:r>
      <w:r w:rsidRPr="00BC245D">
        <w:rPr>
          <w:rFonts w:ascii="Trebuchet MS" w:eastAsia="Times New Roman" w:hAnsi="Trebuchet MS"/>
          <w:sz w:val="22"/>
        </w:rPr>
        <w:t>.</w:t>
      </w:r>
    </w:p>
    <w:p w14:paraId="27FB5F98" w14:textId="77777777" w:rsidR="009F76EA" w:rsidRDefault="009F76EA" w:rsidP="009F76EA">
      <w:pPr>
        <w:pStyle w:val="BodyText"/>
        <w:rPr>
          <w:rFonts w:ascii="Trebuchet MS" w:eastAsia="Times New Roman" w:hAnsi="Trebuchet MS"/>
          <w:color w:val="5D75A9" w:themeColor="accent2"/>
          <w:sz w:val="26"/>
          <w:szCs w:val="26"/>
        </w:rPr>
      </w:pPr>
    </w:p>
    <w:p w14:paraId="718F1645" w14:textId="77777777" w:rsidR="009F76EA" w:rsidRPr="00AF1C36" w:rsidRDefault="009F76EA" w:rsidP="009F76EA">
      <w:pPr>
        <w:pStyle w:val="BodyText"/>
        <w:numPr>
          <w:ilvl w:val="0"/>
          <w:numId w:val="33"/>
        </w:numPr>
        <w:rPr>
          <w:rFonts w:ascii="Trebuchet MS" w:eastAsia="Times New Roman" w:hAnsi="Trebuchet MS"/>
          <w:color w:val="5D75A9" w:themeColor="accent2"/>
          <w:sz w:val="26"/>
          <w:szCs w:val="26"/>
        </w:rPr>
      </w:pPr>
      <w:r w:rsidRPr="00AF1C36">
        <w:rPr>
          <w:rFonts w:ascii="Trebuchet MS" w:eastAsia="Times New Roman" w:hAnsi="Trebuchet MS"/>
          <w:color w:val="5D75A9" w:themeColor="accent2"/>
          <w:sz w:val="26"/>
          <w:szCs w:val="26"/>
        </w:rPr>
        <w:t>Introduction (2 pages)</w:t>
      </w:r>
    </w:p>
    <w:p w14:paraId="19563CEB" w14:textId="77777777" w:rsidR="009F76EA" w:rsidRPr="00BC245D" w:rsidRDefault="009F76EA" w:rsidP="009F76EA">
      <w:pPr>
        <w:pStyle w:val="BodyText"/>
        <w:rPr>
          <w:rFonts w:ascii="Trebuchet MS" w:eastAsia="Times New Roman" w:hAnsi="Trebuchet MS"/>
          <w:color w:val="5D75A9" w:themeColor="accent2"/>
          <w:sz w:val="22"/>
        </w:rPr>
      </w:pPr>
      <w:r w:rsidRPr="00BC245D">
        <w:rPr>
          <w:rFonts w:ascii="Trebuchet MS" w:eastAsia="Times New Roman" w:hAnsi="Trebuchet MS"/>
          <w:sz w:val="22"/>
        </w:rPr>
        <w:t xml:space="preserve">The Introduction section will set out the main aims of the paper, the original research questions </w:t>
      </w:r>
      <w:r>
        <w:rPr>
          <w:rFonts w:ascii="Trebuchet MS" w:eastAsia="Times New Roman" w:hAnsi="Trebuchet MS"/>
          <w:sz w:val="22"/>
        </w:rPr>
        <w:t>from</w:t>
      </w:r>
      <w:r w:rsidRPr="00BC245D">
        <w:rPr>
          <w:rFonts w:ascii="Trebuchet MS" w:eastAsia="Times New Roman" w:hAnsi="Trebuchet MS"/>
          <w:sz w:val="22"/>
        </w:rPr>
        <w:t xml:space="preserve"> the TORs, and will summarise the main methods of the study (desk review, drawing largely on qualitative dat</w:t>
      </w:r>
      <w:r>
        <w:rPr>
          <w:rFonts w:ascii="Trebuchet MS" w:eastAsia="Times New Roman" w:hAnsi="Trebuchet MS"/>
          <w:sz w:val="22"/>
        </w:rPr>
        <w:t>a</w:t>
      </w:r>
      <w:r w:rsidRPr="00BC245D">
        <w:rPr>
          <w:rFonts w:ascii="Trebuchet MS" w:eastAsia="Times New Roman" w:hAnsi="Trebuchet MS"/>
          <w:sz w:val="22"/>
        </w:rPr>
        <w:t xml:space="preserve"> but cross checked against quantitative </w:t>
      </w:r>
      <w:r>
        <w:rPr>
          <w:rFonts w:ascii="Trebuchet MS" w:eastAsia="Times New Roman" w:hAnsi="Trebuchet MS"/>
          <w:sz w:val="22"/>
        </w:rPr>
        <w:t xml:space="preserve">data </w:t>
      </w:r>
      <w:proofErr w:type="spellStart"/>
      <w:r w:rsidRPr="00BC245D">
        <w:rPr>
          <w:rFonts w:ascii="Trebuchet MS" w:eastAsia="Times New Roman" w:hAnsi="Trebuchet MS"/>
          <w:sz w:val="22"/>
        </w:rPr>
        <w:t>where</w:t>
      </w:r>
      <w:proofErr w:type="spellEnd"/>
      <w:r w:rsidRPr="00BC245D">
        <w:rPr>
          <w:rFonts w:ascii="Trebuchet MS" w:eastAsia="Times New Roman" w:hAnsi="Trebuchet MS"/>
          <w:sz w:val="22"/>
        </w:rPr>
        <w:t xml:space="preserve"> available). It will also set out the structure of the paper</w:t>
      </w:r>
      <w:r>
        <w:rPr>
          <w:rFonts w:ascii="Trebuchet MS" w:eastAsia="Times New Roman" w:hAnsi="Trebuchet MS"/>
          <w:sz w:val="22"/>
        </w:rPr>
        <w:t xml:space="preserve"> and define key terms (such as democratic governance)</w:t>
      </w:r>
      <w:r w:rsidRPr="00BC245D">
        <w:rPr>
          <w:rFonts w:ascii="Trebuchet MS" w:eastAsia="Times New Roman" w:hAnsi="Trebuchet MS"/>
          <w:sz w:val="22"/>
        </w:rPr>
        <w:t>.</w:t>
      </w:r>
    </w:p>
    <w:p w14:paraId="1C6BD3C6" w14:textId="77777777" w:rsidR="009F76EA" w:rsidRDefault="009F76EA" w:rsidP="009F76EA">
      <w:pPr>
        <w:pStyle w:val="BodyText"/>
        <w:rPr>
          <w:rFonts w:ascii="Trebuchet MS" w:eastAsia="Times New Roman" w:hAnsi="Trebuchet MS"/>
          <w:color w:val="5D75A9" w:themeColor="accent2"/>
          <w:sz w:val="26"/>
          <w:szCs w:val="26"/>
        </w:rPr>
      </w:pPr>
    </w:p>
    <w:p w14:paraId="6FA80295" w14:textId="77777777" w:rsidR="009F76EA" w:rsidRPr="00AF1C36" w:rsidRDefault="009F76EA" w:rsidP="009F76EA">
      <w:pPr>
        <w:pStyle w:val="BodyText"/>
        <w:numPr>
          <w:ilvl w:val="0"/>
          <w:numId w:val="33"/>
        </w:numPr>
        <w:rPr>
          <w:rFonts w:ascii="Trebuchet MS" w:eastAsia="Times New Roman" w:hAnsi="Trebuchet MS"/>
          <w:color w:val="5D75A9" w:themeColor="accent2"/>
          <w:sz w:val="26"/>
          <w:szCs w:val="26"/>
        </w:rPr>
      </w:pPr>
      <w:r>
        <w:rPr>
          <w:rFonts w:ascii="Trebuchet MS" w:eastAsia="Times New Roman" w:hAnsi="Trebuchet MS"/>
          <w:color w:val="5D75A9" w:themeColor="accent2"/>
          <w:sz w:val="26"/>
          <w:szCs w:val="26"/>
        </w:rPr>
        <w:t>Reflections on</w:t>
      </w:r>
      <w:r w:rsidRPr="00AF1C36">
        <w:rPr>
          <w:rFonts w:ascii="Trebuchet MS" w:eastAsia="Times New Roman" w:hAnsi="Trebuchet MS"/>
          <w:color w:val="5D75A9" w:themeColor="accent2"/>
          <w:sz w:val="26"/>
          <w:szCs w:val="26"/>
        </w:rPr>
        <w:t xml:space="preserve"> the relationship</w:t>
      </w:r>
      <w:r>
        <w:rPr>
          <w:rFonts w:ascii="Trebuchet MS" w:eastAsia="Times New Roman" w:hAnsi="Trebuchet MS"/>
          <w:color w:val="5D75A9" w:themeColor="accent2"/>
          <w:sz w:val="26"/>
          <w:szCs w:val="26"/>
        </w:rPr>
        <w:t>s</w:t>
      </w:r>
      <w:r w:rsidRPr="00AF1C36">
        <w:rPr>
          <w:rFonts w:ascii="Trebuchet MS" w:eastAsia="Times New Roman" w:hAnsi="Trebuchet MS"/>
          <w:color w:val="5D75A9" w:themeColor="accent2"/>
          <w:sz w:val="26"/>
          <w:szCs w:val="26"/>
        </w:rPr>
        <w:t xml:space="preserve"> between democratic governance and the MDGs (2 pages) </w:t>
      </w:r>
    </w:p>
    <w:p w14:paraId="1B77FC0D" w14:textId="77777777" w:rsidR="009F76EA" w:rsidRDefault="009F76EA" w:rsidP="009F76EA">
      <w:pPr>
        <w:pStyle w:val="BodyText"/>
        <w:rPr>
          <w:rFonts w:ascii="Trebuchet MS" w:eastAsia="Times New Roman" w:hAnsi="Trebuchet MS"/>
          <w:sz w:val="22"/>
        </w:rPr>
      </w:pPr>
      <w:r w:rsidRPr="00BC245D">
        <w:rPr>
          <w:rFonts w:ascii="Trebuchet MS" w:eastAsia="Times New Roman" w:hAnsi="Trebuchet MS"/>
          <w:sz w:val="22"/>
        </w:rPr>
        <w:t xml:space="preserve">This section will </w:t>
      </w:r>
      <w:r>
        <w:rPr>
          <w:rFonts w:ascii="Trebuchet MS" w:eastAsia="Times New Roman" w:hAnsi="Trebuchet MS"/>
          <w:sz w:val="22"/>
        </w:rPr>
        <w:t xml:space="preserve">briefly review some of </w:t>
      </w:r>
      <w:r w:rsidRPr="00BC245D">
        <w:rPr>
          <w:rFonts w:ascii="Trebuchet MS" w:eastAsia="Times New Roman" w:hAnsi="Trebuchet MS"/>
          <w:sz w:val="22"/>
        </w:rPr>
        <w:t xml:space="preserve">the known relationships and links between aspects of democratic governance and </w:t>
      </w:r>
      <w:r>
        <w:rPr>
          <w:rFonts w:ascii="Trebuchet MS" w:eastAsia="Times New Roman" w:hAnsi="Trebuchet MS"/>
          <w:sz w:val="22"/>
        </w:rPr>
        <w:t>general achievement of</w:t>
      </w:r>
      <w:r w:rsidRPr="00BC245D">
        <w:rPr>
          <w:rFonts w:ascii="Trebuchet MS" w:eastAsia="Times New Roman" w:hAnsi="Trebuchet MS"/>
          <w:sz w:val="22"/>
        </w:rPr>
        <w:t xml:space="preserve"> the MDGs. </w:t>
      </w:r>
      <w:proofErr w:type="gramStart"/>
      <w:r w:rsidRPr="00BC245D">
        <w:rPr>
          <w:rFonts w:ascii="Trebuchet MS" w:eastAsia="Times New Roman" w:hAnsi="Trebuchet MS"/>
          <w:sz w:val="22"/>
        </w:rPr>
        <w:t>Crucially,</w:t>
      </w:r>
      <w:proofErr w:type="gramEnd"/>
      <w:r w:rsidRPr="00BC245D">
        <w:rPr>
          <w:rFonts w:ascii="Trebuchet MS" w:eastAsia="Times New Roman" w:hAnsi="Trebuchet MS"/>
          <w:sz w:val="22"/>
        </w:rPr>
        <w:t xml:space="preserve"> it will look at both positive and negative relationships, i.e. where governance features have contributed to MDG achievement and where they have contributed to their under-achievement. </w:t>
      </w:r>
    </w:p>
    <w:p w14:paraId="650D442E" w14:textId="77777777" w:rsidR="009F76EA" w:rsidRPr="00BC245D" w:rsidRDefault="009F76EA" w:rsidP="009F76EA">
      <w:pPr>
        <w:pStyle w:val="BodyText"/>
        <w:rPr>
          <w:rFonts w:ascii="Trebuchet MS" w:eastAsia="Times New Roman" w:hAnsi="Trebuchet MS"/>
          <w:sz w:val="22"/>
        </w:rPr>
      </w:pPr>
      <w:r>
        <w:rPr>
          <w:rFonts w:ascii="Trebuchet MS" w:eastAsia="Times New Roman" w:hAnsi="Trebuchet MS"/>
          <w:sz w:val="22"/>
        </w:rPr>
        <w:t xml:space="preserve">It will touch on the relationships between MDG achievement and human rights, democracy, accountability and transparency. It will select key texts and key points of these debates, rather than systematically assessing these diverse literatures, using boxes and bullet points to summarise the main points. </w:t>
      </w:r>
      <w:r w:rsidRPr="00BC245D">
        <w:rPr>
          <w:rFonts w:ascii="Trebuchet MS" w:eastAsia="Times New Roman" w:hAnsi="Trebuchet MS"/>
          <w:sz w:val="22"/>
        </w:rPr>
        <w:t xml:space="preserve"> </w:t>
      </w:r>
    </w:p>
    <w:p w14:paraId="48FD8129" w14:textId="77777777" w:rsidR="009F76EA" w:rsidRPr="00BC245D" w:rsidRDefault="009F76EA" w:rsidP="009F76EA">
      <w:pPr>
        <w:pStyle w:val="BodyText"/>
        <w:rPr>
          <w:rFonts w:ascii="Trebuchet MS" w:eastAsia="Times New Roman" w:hAnsi="Trebuchet MS"/>
          <w:sz w:val="22"/>
        </w:rPr>
      </w:pPr>
      <w:r w:rsidRPr="00BC245D">
        <w:rPr>
          <w:rFonts w:ascii="Trebuchet MS" w:eastAsia="Times New Roman" w:hAnsi="Trebuchet MS"/>
          <w:sz w:val="22"/>
        </w:rPr>
        <w:t xml:space="preserve">Overall, it will suggest that there is still a mixed picture in terms of effects on aspects of governance on MDG achievement. In general, emerging evidence points to the importance of context and that the extent to which the above variables (human rights, democracy, accountability/transparency) shape outcomes depends on underlying incentives and conditions in each context (Booth 2011; Pritchett and </w:t>
      </w:r>
      <w:proofErr w:type="spellStart"/>
      <w:r w:rsidRPr="00BC245D">
        <w:rPr>
          <w:rFonts w:ascii="Trebuchet MS" w:eastAsia="Times New Roman" w:hAnsi="Trebuchet MS"/>
          <w:sz w:val="22"/>
        </w:rPr>
        <w:t>Woolcock</w:t>
      </w:r>
      <w:proofErr w:type="spellEnd"/>
      <w:r w:rsidRPr="00BC245D">
        <w:rPr>
          <w:rFonts w:ascii="Trebuchet MS" w:eastAsia="Times New Roman" w:hAnsi="Trebuchet MS"/>
          <w:sz w:val="22"/>
        </w:rPr>
        <w:t xml:space="preserve"> 2004). For example, linkages have made between public expenditure and democracy but whether this translates into improved outcomes depends on the wider institutional context (see </w:t>
      </w:r>
      <w:proofErr w:type="spellStart"/>
      <w:r w:rsidRPr="00BC245D">
        <w:rPr>
          <w:rFonts w:ascii="Trebuchet MS" w:eastAsia="Times New Roman" w:hAnsi="Trebuchet MS"/>
          <w:sz w:val="22"/>
        </w:rPr>
        <w:t>Carbonne</w:t>
      </w:r>
      <w:proofErr w:type="spellEnd"/>
      <w:r w:rsidRPr="00BC245D">
        <w:rPr>
          <w:rFonts w:ascii="Trebuchet MS" w:eastAsia="Times New Roman" w:hAnsi="Trebuchet MS"/>
          <w:sz w:val="22"/>
        </w:rPr>
        <w:t xml:space="preserve"> 2009 comparison of health in Ghana and Cameroon).  Increasingly, this has led to calls for a greater focus in on particular sectors and the specific governance features that seem to shape outcomes/results</w:t>
      </w:r>
      <w:r>
        <w:rPr>
          <w:rFonts w:ascii="Trebuchet MS" w:eastAsia="Times New Roman" w:hAnsi="Trebuchet MS"/>
          <w:sz w:val="22"/>
        </w:rPr>
        <w:t xml:space="preserve"> within them</w:t>
      </w:r>
      <w:r w:rsidRPr="00BC245D">
        <w:rPr>
          <w:rFonts w:ascii="Trebuchet MS" w:eastAsia="Times New Roman" w:hAnsi="Trebuchet MS"/>
          <w:sz w:val="22"/>
        </w:rPr>
        <w:t xml:space="preserve">, including in relation to MDG targets. </w:t>
      </w:r>
      <w:r>
        <w:rPr>
          <w:rFonts w:ascii="Trebuchet MS" w:eastAsia="Times New Roman" w:hAnsi="Trebuchet MS"/>
          <w:sz w:val="22"/>
        </w:rPr>
        <w:t xml:space="preserve">This suggests the need to more systematically understand how particular governance features can </w:t>
      </w:r>
      <w:proofErr w:type="gramStart"/>
      <w:r>
        <w:rPr>
          <w:rFonts w:ascii="Trebuchet MS" w:eastAsia="Times New Roman" w:hAnsi="Trebuchet MS"/>
          <w:sz w:val="22"/>
        </w:rPr>
        <w:t>effect</w:t>
      </w:r>
      <w:proofErr w:type="gramEnd"/>
      <w:r>
        <w:rPr>
          <w:rFonts w:ascii="Trebuchet MS" w:eastAsia="Times New Roman" w:hAnsi="Trebuchet MS"/>
          <w:sz w:val="22"/>
        </w:rPr>
        <w:t xml:space="preserve"> outcomes and different aspects of </w:t>
      </w:r>
      <w:proofErr w:type="spellStart"/>
      <w:r>
        <w:rPr>
          <w:rFonts w:ascii="Trebuchet MS" w:eastAsia="Times New Roman" w:hAnsi="Trebuchet MS"/>
          <w:sz w:val="22"/>
        </w:rPr>
        <w:t>sectoral</w:t>
      </w:r>
      <w:proofErr w:type="spellEnd"/>
      <w:r>
        <w:rPr>
          <w:rFonts w:ascii="Trebuchet MS" w:eastAsia="Times New Roman" w:hAnsi="Trebuchet MS"/>
          <w:sz w:val="22"/>
        </w:rPr>
        <w:t xml:space="preserve"> reform. </w:t>
      </w:r>
    </w:p>
    <w:p w14:paraId="4050E3AD" w14:textId="77777777" w:rsidR="009F76EA" w:rsidRPr="00AF1C36" w:rsidRDefault="009F76EA" w:rsidP="009F76EA">
      <w:pPr>
        <w:pStyle w:val="BodyText"/>
        <w:numPr>
          <w:ilvl w:val="0"/>
          <w:numId w:val="33"/>
        </w:numPr>
        <w:rPr>
          <w:rFonts w:ascii="Trebuchet MS" w:eastAsia="Times New Roman" w:hAnsi="Trebuchet MS"/>
          <w:color w:val="5D75A9" w:themeColor="accent2"/>
          <w:sz w:val="26"/>
          <w:szCs w:val="26"/>
        </w:rPr>
      </w:pPr>
      <w:proofErr w:type="spellStart"/>
      <w:r w:rsidRPr="00AF1C36">
        <w:rPr>
          <w:rFonts w:ascii="Trebuchet MS" w:eastAsia="Times New Roman" w:hAnsi="Trebuchet MS"/>
          <w:color w:val="5D75A9" w:themeColor="accent2"/>
          <w:sz w:val="26"/>
          <w:szCs w:val="26"/>
        </w:rPr>
        <w:lastRenderedPageBreak/>
        <w:t>Sectoral</w:t>
      </w:r>
      <w:proofErr w:type="spellEnd"/>
      <w:r w:rsidRPr="00AF1C36">
        <w:rPr>
          <w:rFonts w:ascii="Trebuchet MS" w:eastAsia="Times New Roman" w:hAnsi="Trebuchet MS"/>
          <w:color w:val="5D75A9" w:themeColor="accent2"/>
          <w:sz w:val="26"/>
          <w:szCs w:val="26"/>
        </w:rPr>
        <w:t xml:space="preserve"> analysis, democratic governance and the MDGs</w:t>
      </w:r>
      <w:r>
        <w:rPr>
          <w:rFonts w:ascii="Trebuchet MS" w:eastAsia="Times New Roman" w:hAnsi="Trebuchet MS"/>
          <w:color w:val="5D75A9" w:themeColor="accent2"/>
          <w:sz w:val="26"/>
          <w:szCs w:val="26"/>
        </w:rPr>
        <w:t xml:space="preserve"> (12-14 pages)</w:t>
      </w:r>
    </w:p>
    <w:p w14:paraId="7A3B3F42" w14:textId="77777777" w:rsidR="009F76EA" w:rsidRDefault="009F76EA" w:rsidP="009F76EA">
      <w:pPr>
        <w:pStyle w:val="BodyText"/>
        <w:rPr>
          <w:rFonts w:ascii="Trebuchet MS" w:eastAsia="Times New Roman" w:hAnsi="Trebuchet MS"/>
          <w:sz w:val="22"/>
        </w:rPr>
      </w:pPr>
      <w:r w:rsidRPr="00BC245D">
        <w:rPr>
          <w:rFonts w:ascii="Trebuchet MS" w:eastAsia="Times New Roman" w:hAnsi="Trebuchet MS"/>
          <w:sz w:val="22"/>
        </w:rPr>
        <w:t xml:space="preserve">This section </w:t>
      </w:r>
      <w:r>
        <w:rPr>
          <w:rFonts w:ascii="Trebuchet MS" w:eastAsia="Times New Roman" w:hAnsi="Trebuchet MS"/>
          <w:sz w:val="22"/>
        </w:rPr>
        <w:t xml:space="preserve">forms the main body of the report. It will </w:t>
      </w:r>
      <w:r w:rsidRPr="00BC245D">
        <w:rPr>
          <w:rFonts w:ascii="Trebuchet MS" w:eastAsia="Times New Roman" w:hAnsi="Trebuchet MS"/>
          <w:sz w:val="22"/>
        </w:rPr>
        <w:t>focus on some specific sectors and services, where there is a growing evidence base in terms of the specific governance mechanisms and processes that can determine MDG achievement</w:t>
      </w:r>
      <w:r>
        <w:rPr>
          <w:rFonts w:ascii="Trebuchet MS" w:eastAsia="Times New Roman" w:hAnsi="Trebuchet MS"/>
          <w:sz w:val="22"/>
        </w:rPr>
        <w:t xml:space="preserve"> or underachievement</w:t>
      </w:r>
      <w:r w:rsidRPr="00BC245D">
        <w:rPr>
          <w:rFonts w:ascii="Trebuchet MS" w:eastAsia="Times New Roman" w:hAnsi="Trebuchet MS"/>
          <w:sz w:val="22"/>
        </w:rPr>
        <w:t xml:space="preserve">. </w:t>
      </w:r>
    </w:p>
    <w:p w14:paraId="4DF6B7E5" w14:textId="77777777" w:rsidR="009F76EA" w:rsidRDefault="009F76EA" w:rsidP="009F76EA">
      <w:pPr>
        <w:pStyle w:val="BodyText"/>
        <w:rPr>
          <w:rFonts w:ascii="Trebuchet MS" w:eastAsia="Times New Roman" w:hAnsi="Trebuchet MS"/>
          <w:sz w:val="22"/>
        </w:rPr>
      </w:pPr>
      <w:r w:rsidRPr="00BC245D">
        <w:rPr>
          <w:rFonts w:ascii="Trebuchet MS" w:eastAsia="Times New Roman" w:hAnsi="Trebuchet MS"/>
          <w:sz w:val="22"/>
        </w:rPr>
        <w:t xml:space="preserve">Here, we will note that </w:t>
      </w:r>
      <w:r>
        <w:rPr>
          <w:rFonts w:ascii="Trebuchet MS" w:eastAsia="Times New Roman" w:hAnsi="Trebuchet MS"/>
          <w:sz w:val="22"/>
        </w:rPr>
        <w:t>while</w:t>
      </w:r>
      <w:r w:rsidRPr="00BC245D">
        <w:rPr>
          <w:rFonts w:ascii="Trebuchet MS" w:eastAsia="Times New Roman" w:hAnsi="Trebuchet MS"/>
          <w:sz w:val="22"/>
        </w:rPr>
        <w:t xml:space="preserve"> evidence base is </w:t>
      </w:r>
      <w:r>
        <w:rPr>
          <w:rFonts w:ascii="Trebuchet MS" w:eastAsia="Times New Roman" w:hAnsi="Trebuchet MS"/>
          <w:sz w:val="22"/>
        </w:rPr>
        <w:t>growing</w:t>
      </w:r>
      <w:r w:rsidRPr="00BC245D">
        <w:rPr>
          <w:rFonts w:ascii="Trebuchet MS" w:eastAsia="Times New Roman" w:hAnsi="Trebuchet MS"/>
          <w:sz w:val="22"/>
        </w:rPr>
        <w:t xml:space="preserve">, particularly through forms of </w:t>
      </w:r>
      <w:proofErr w:type="spellStart"/>
      <w:r w:rsidRPr="00BC245D">
        <w:rPr>
          <w:rFonts w:ascii="Trebuchet MS" w:eastAsia="Times New Roman" w:hAnsi="Trebuchet MS"/>
          <w:sz w:val="22"/>
        </w:rPr>
        <w:t>sectoral</w:t>
      </w:r>
      <w:proofErr w:type="spellEnd"/>
      <w:r w:rsidRPr="00BC245D">
        <w:rPr>
          <w:rFonts w:ascii="Trebuchet MS" w:eastAsia="Times New Roman" w:hAnsi="Trebuchet MS"/>
          <w:sz w:val="22"/>
        </w:rPr>
        <w:t xml:space="preserve"> political economy analysis, there </w:t>
      </w:r>
      <w:r>
        <w:rPr>
          <w:rFonts w:ascii="Trebuchet MS" w:eastAsia="Times New Roman" w:hAnsi="Trebuchet MS"/>
          <w:sz w:val="22"/>
        </w:rPr>
        <w:t>are remaining</w:t>
      </w:r>
      <w:r w:rsidRPr="00BC245D">
        <w:rPr>
          <w:rFonts w:ascii="Trebuchet MS" w:eastAsia="Times New Roman" w:hAnsi="Trebuchet MS"/>
          <w:sz w:val="22"/>
        </w:rPr>
        <w:t xml:space="preserve"> </w:t>
      </w:r>
      <w:r>
        <w:rPr>
          <w:rFonts w:ascii="Trebuchet MS" w:eastAsia="Times New Roman" w:hAnsi="Trebuchet MS"/>
          <w:sz w:val="22"/>
        </w:rPr>
        <w:t xml:space="preserve">gaps in terms of </w:t>
      </w:r>
      <w:r w:rsidRPr="00BC245D">
        <w:rPr>
          <w:rFonts w:ascii="Trebuchet MS" w:eastAsia="Times New Roman" w:hAnsi="Trebuchet MS"/>
          <w:sz w:val="22"/>
        </w:rPr>
        <w:t>analysis linking political economy and governance analysis to specific outcomes/targets</w:t>
      </w:r>
      <w:r>
        <w:rPr>
          <w:rFonts w:ascii="Trebuchet MS" w:eastAsia="Times New Roman" w:hAnsi="Trebuchet MS"/>
          <w:sz w:val="22"/>
        </w:rPr>
        <w:t xml:space="preserve"> such as the MDGs</w:t>
      </w:r>
      <w:r w:rsidRPr="00BC245D">
        <w:rPr>
          <w:rFonts w:ascii="Trebuchet MS" w:eastAsia="Times New Roman" w:hAnsi="Trebuchet MS"/>
          <w:sz w:val="22"/>
        </w:rPr>
        <w:t>.</w:t>
      </w:r>
      <w:r>
        <w:rPr>
          <w:rFonts w:ascii="Trebuchet MS" w:eastAsia="Times New Roman" w:hAnsi="Trebuchet MS"/>
          <w:sz w:val="22"/>
        </w:rPr>
        <w:t xml:space="preserve"> This means we will largely draw on </w:t>
      </w:r>
      <w:proofErr w:type="spellStart"/>
      <w:r>
        <w:rPr>
          <w:rFonts w:ascii="Trebuchet MS" w:eastAsia="Times New Roman" w:hAnsi="Trebuchet MS"/>
          <w:sz w:val="22"/>
        </w:rPr>
        <w:t>sectoral</w:t>
      </w:r>
      <w:proofErr w:type="spellEnd"/>
      <w:r>
        <w:rPr>
          <w:rFonts w:ascii="Trebuchet MS" w:eastAsia="Times New Roman" w:hAnsi="Trebuchet MS"/>
          <w:sz w:val="22"/>
        </w:rPr>
        <w:t xml:space="preserve"> analysis and where possible, examine the impacts on outcomes for services, including those most relevant to MDG targets. </w:t>
      </w:r>
      <w:r w:rsidRPr="00BC245D">
        <w:rPr>
          <w:rFonts w:ascii="Trebuchet MS" w:eastAsia="Times New Roman" w:hAnsi="Trebuchet MS"/>
          <w:sz w:val="22"/>
        </w:rPr>
        <w:t xml:space="preserve"> </w:t>
      </w:r>
    </w:p>
    <w:p w14:paraId="0CF99BD8" w14:textId="77777777" w:rsidR="009F76EA" w:rsidRDefault="009F76EA" w:rsidP="009F76EA">
      <w:pPr>
        <w:pStyle w:val="BodyText"/>
        <w:rPr>
          <w:rFonts w:ascii="Trebuchet MS" w:eastAsia="Times New Roman" w:hAnsi="Trebuchet MS"/>
          <w:sz w:val="22"/>
        </w:rPr>
      </w:pPr>
      <w:r w:rsidRPr="00BC245D">
        <w:rPr>
          <w:rFonts w:ascii="Trebuchet MS" w:eastAsia="Times New Roman" w:hAnsi="Trebuchet MS"/>
          <w:sz w:val="22"/>
        </w:rPr>
        <w:t>This section will largely draw on country case studies</w:t>
      </w:r>
      <w:r>
        <w:rPr>
          <w:rFonts w:ascii="Trebuchet MS" w:eastAsia="Times New Roman" w:hAnsi="Trebuchet MS"/>
          <w:sz w:val="22"/>
        </w:rPr>
        <w:t xml:space="preserve"> (particular</w:t>
      </w:r>
      <w:r w:rsidRPr="00BC245D">
        <w:rPr>
          <w:rFonts w:ascii="Trebuchet MS" w:eastAsia="Times New Roman" w:hAnsi="Trebuchet MS"/>
          <w:sz w:val="22"/>
        </w:rPr>
        <w:t xml:space="preserve"> </w:t>
      </w:r>
      <w:proofErr w:type="spellStart"/>
      <w:r w:rsidRPr="00BC245D">
        <w:rPr>
          <w:rFonts w:ascii="Trebuchet MS" w:eastAsia="Times New Roman" w:hAnsi="Trebuchet MS"/>
          <w:sz w:val="22"/>
        </w:rPr>
        <w:t>sectoral</w:t>
      </w:r>
      <w:proofErr w:type="spellEnd"/>
      <w:r w:rsidRPr="00BC245D">
        <w:rPr>
          <w:rFonts w:ascii="Trebuchet MS" w:eastAsia="Times New Roman" w:hAnsi="Trebuchet MS"/>
          <w:sz w:val="22"/>
        </w:rPr>
        <w:t xml:space="preserve"> political economy studies where available</w:t>
      </w:r>
      <w:r>
        <w:rPr>
          <w:rFonts w:ascii="Trebuchet MS" w:eastAsia="Times New Roman" w:hAnsi="Trebuchet MS"/>
          <w:sz w:val="22"/>
        </w:rPr>
        <w:t>)</w:t>
      </w:r>
      <w:r w:rsidRPr="00BC245D">
        <w:rPr>
          <w:rFonts w:ascii="Trebuchet MS" w:eastAsia="Times New Roman" w:hAnsi="Trebuchet MS"/>
          <w:sz w:val="22"/>
        </w:rPr>
        <w:t>. It will present illustrations of how different governance features seem to affect outcomes and aspects of MDG achievement (and positive and negative effects)</w:t>
      </w:r>
      <w:r>
        <w:rPr>
          <w:rFonts w:ascii="Trebuchet MS" w:eastAsia="Times New Roman" w:hAnsi="Trebuchet MS"/>
          <w:sz w:val="22"/>
        </w:rPr>
        <w:t>; some of these are indicated below, but this is not a definitive list and will be further refined in the drafting process</w:t>
      </w:r>
      <w:r w:rsidRPr="00BC245D">
        <w:rPr>
          <w:rFonts w:ascii="Trebuchet MS" w:eastAsia="Times New Roman" w:hAnsi="Trebuchet MS"/>
          <w:sz w:val="22"/>
        </w:rPr>
        <w:t xml:space="preserve">. </w:t>
      </w:r>
    </w:p>
    <w:p w14:paraId="5EDC642A" w14:textId="77777777" w:rsidR="009F76EA" w:rsidRPr="0013617A" w:rsidRDefault="009F76EA" w:rsidP="009F76EA">
      <w:pPr>
        <w:pStyle w:val="BodyText"/>
        <w:rPr>
          <w:rFonts w:ascii="Trebuchet MS" w:eastAsia="Times New Roman" w:hAnsi="Trebuchet MS"/>
          <w:i/>
          <w:sz w:val="22"/>
        </w:rPr>
      </w:pPr>
      <w:r w:rsidRPr="0013617A">
        <w:rPr>
          <w:rFonts w:ascii="Trebuchet MS" w:eastAsia="Times New Roman" w:hAnsi="Trebuchet MS"/>
          <w:i/>
          <w:sz w:val="22"/>
        </w:rPr>
        <w:t>3.1 Review of key sectors</w:t>
      </w:r>
    </w:p>
    <w:p w14:paraId="47FB9006" w14:textId="77777777" w:rsidR="009F76EA" w:rsidRPr="00BC245D" w:rsidRDefault="009F76EA" w:rsidP="009F76EA">
      <w:pPr>
        <w:pStyle w:val="BodyText"/>
        <w:rPr>
          <w:rFonts w:ascii="Trebuchet MS" w:eastAsia="Times New Roman" w:hAnsi="Trebuchet MS"/>
          <w:sz w:val="22"/>
        </w:rPr>
      </w:pPr>
      <w:r w:rsidRPr="00BC245D">
        <w:rPr>
          <w:rFonts w:ascii="Trebuchet MS" w:eastAsia="Times New Roman" w:hAnsi="Trebuchet MS"/>
          <w:sz w:val="22"/>
        </w:rPr>
        <w:t xml:space="preserve">The proposed sectors to be reviewed in this sector are: </w:t>
      </w:r>
    </w:p>
    <w:p w14:paraId="18D11E2F" w14:textId="77777777" w:rsidR="009F76EA" w:rsidRDefault="009F76EA" w:rsidP="009F76EA">
      <w:pPr>
        <w:pStyle w:val="BodyText"/>
        <w:numPr>
          <w:ilvl w:val="0"/>
          <w:numId w:val="27"/>
        </w:numPr>
        <w:rPr>
          <w:rFonts w:ascii="Trebuchet MS" w:eastAsia="Times New Roman" w:hAnsi="Trebuchet MS"/>
          <w:sz w:val="22"/>
        </w:rPr>
      </w:pPr>
      <w:r w:rsidRPr="00BC245D">
        <w:rPr>
          <w:rFonts w:ascii="Trebuchet MS" w:eastAsia="Times New Roman" w:hAnsi="Trebuchet MS"/>
          <w:sz w:val="22"/>
        </w:rPr>
        <w:t>Maternal health</w:t>
      </w:r>
      <w:r>
        <w:rPr>
          <w:rFonts w:ascii="Trebuchet MS" w:eastAsia="Times New Roman" w:hAnsi="Trebuchet MS"/>
          <w:sz w:val="22"/>
        </w:rPr>
        <w:t xml:space="preserve"> (MDG </w:t>
      </w:r>
      <w:r w:rsidRPr="005D25FA">
        <w:rPr>
          <w:rFonts w:ascii="Trebuchet MS" w:eastAsia="Times New Roman" w:hAnsi="Trebuchet MS"/>
          <w:sz w:val="22"/>
        </w:rPr>
        <w:t>Goal 5: Improve maternal health</w:t>
      </w:r>
      <w:r>
        <w:rPr>
          <w:rFonts w:ascii="Trebuchet MS" w:eastAsia="Times New Roman" w:hAnsi="Trebuchet MS"/>
          <w:sz w:val="22"/>
        </w:rPr>
        <w:t>):</w:t>
      </w:r>
    </w:p>
    <w:p w14:paraId="297FA90C" w14:textId="77777777" w:rsidR="009F76EA" w:rsidRDefault="009F76EA" w:rsidP="009F76EA">
      <w:pPr>
        <w:pStyle w:val="BodyText"/>
        <w:ind w:left="720"/>
        <w:rPr>
          <w:rFonts w:ascii="Trebuchet MS" w:eastAsia="Times New Roman" w:hAnsi="Trebuchet MS"/>
          <w:sz w:val="22"/>
        </w:rPr>
      </w:pPr>
      <w:r>
        <w:rPr>
          <w:rFonts w:ascii="Trebuchet MS" w:eastAsia="Times New Roman" w:hAnsi="Trebuchet MS"/>
          <w:sz w:val="22"/>
        </w:rPr>
        <w:t xml:space="preserve">Progress has been made in reducing maternal mortality, but achievement is still mixed and levels of maternal mortality remain high. Recent work by the Africa Power and Politics programme has examined some of the institutional features which seem to be necessary to make progress. Their analysis points to the role of policy coherence (so that policies are consistently implemented at different levels of governance), forms of political leadership and community involvement and engagement (e.g. Chambers 2012). This will be examined, alongside other reviews and case studies, to highlight some of the key trends in this sub-sector. </w:t>
      </w:r>
    </w:p>
    <w:p w14:paraId="2184FF23" w14:textId="77777777" w:rsidR="009F76EA" w:rsidRDefault="009F76EA" w:rsidP="009F76EA">
      <w:pPr>
        <w:pStyle w:val="BodyText"/>
        <w:numPr>
          <w:ilvl w:val="0"/>
          <w:numId w:val="27"/>
        </w:numPr>
        <w:rPr>
          <w:rFonts w:ascii="Trebuchet MS" w:eastAsia="Times New Roman" w:hAnsi="Trebuchet MS"/>
          <w:sz w:val="22"/>
        </w:rPr>
      </w:pPr>
      <w:r w:rsidRPr="00BC245D">
        <w:rPr>
          <w:rFonts w:ascii="Trebuchet MS" w:eastAsia="Times New Roman" w:hAnsi="Trebuchet MS"/>
          <w:sz w:val="22"/>
        </w:rPr>
        <w:t>Water supply</w:t>
      </w:r>
      <w:r>
        <w:rPr>
          <w:rFonts w:ascii="Trebuchet MS" w:eastAsia="Times New Roman" w:hAnsi="Trebuchet MS"/>
          <w:sz w:val="22"/>
        </w:rPr>
        <w:t xml:space="preserve"> and sanitation (MDG </w:t>
      </w:r>
      <w:r w:rsidRPr="005D25FA">
        <w:rPr>
          <w:rFonts w:ascii="Trebuchet MS" w:eastAsia="Times New Roman" w:hAnsi="Trebuchet MS"/>
          <w:sz w:val="22"/>
        </w:rPr>
        <w:t>Goal 7: Ensure environmental sustainability</w:t>
      </w:r>
      <w:r>
        <w:rPr>
          <w:rFonts w:ascii="Trebuchet MS" w:eastAsia="Times New Roman" w:hAnsi="Trebuchet MS"/>
          <w:sz w:val="22"/>
        </w:rPr>
        <w:t>;</w:t>
      </w:r>
      <w:r w:rsidRPr="005D25FA">
        <w:rPr>
          <w:rFonts w:ascii="Trebuchet MS" w:eastAsia="Times New Roman" w:hAnsi="Trebuchet MS"/>
          <w:sz w:val="22"/>
        </w:rPr>
        <w:t xml:space="preserve"> Target 7c: Reduce by half the proportion of people without sustainable access to safe drinking water and basic sanitation</w:t>
      </w:r>
      <w:r>
        <w:rPr>
          <w:rFonts w:ascii="Trebuchet MS" w:eastAsia="Times New Roman" w:hAnsi="Trebuchet MS"/>
          <w:sz w:val="22"/>
        </w:rPr>
        <w:t>)</w:t>
      </w:r>
    </w:p>
    <w:p w14:paraId="063CAA06" w14:textId="77777777" w:rsidR="009F76EA" w:rsidRDefault="009F76EA" w:rsidP="009F76EA">
      <w:pPr>
        <w:pStyle w:val="BodyText"/>
        <w:ind w:left="720"/>
        <w:rPr>
          <w:rFonts w:ascii="Trebuchet MS" w:eastAsia="Times New Roman" w:hAnsi="Trebuchet MS"/>
          <w:sz w:val="22"/>
        </w:rPr>
      </w:pPr>
      <w:r>
        <w:rPr>
          <w:rFonts w:ascii="Trebuchet MS" w:eastAsia="Times New Roman" w:hAnsi="Trebuchet MS"/>
          <w:sz w:val="22"/>
        </w:rPr>
        <w:t xml:space="preserve">A growing body of political economy analysis has begun to examine water supply issues; it suggests that politicians can have particular incentives to address water supply, for example where it involves more visible or quantifiable outputs (e.g. borehole construction) and there is some reflection on how this has been affected by both more programmatic party systems and in more neo-patrimonial settings (e.g. Keefer and </w:t>
      </w:r>
      <w:proofErr w:type="spellStart"/>
      <w:r>
        <w:rPr>
          <w:rFonts w:ascii="Trebuchet MS" w:eastAsia="Times New Roman" w:hAnsi="Trebuchet MS"/>
          <w:sz w:val="22"/>
        </w:rPr>
        <w:t>Khemani</w:t>
      </w:r>
      <w:proofErr w:type="spellEnd"/>
      <w:r>
        <w:rPr>
          <w:rFonts w:ascii="Trebuchet MS" w:eastAsia="Times New Roman" w:hAnsi="Trebuchet MS"/>
          <w:sz w:val="22"/>
        </w:rPr>
        <w:t xml:space="preserve"> 2005). Recent shifts towards both hardware (supply side) investments and more ‘software’ investments, in terms of greater community participation and mobilisation, particularly in relation to maintenance of water supply points will also be examined (Harris et al 2011). This will be reviewed with reference to key country studies. </w:t>
      </w:r>
    </w:p>
    <w:p w14:paraId="60536685" w14:textId="77777777" w:rsidR="009F76EA" w:rsidRDefault="009F76EA" w:rsidP="009F76EA">
      <w:pPr>
        <w:pStyle w:val="BodyText"/>
        <w:ind w:left="720"/>
        <w:rPr>
          <w:rFonts w:ascii="Trebuchet MS" w:eastAsia="Times New Roman" w:hAnsi="Trebuchet MS"/>
          <w:sz w:val="22"/>
        </w:rPr>
      </w:pPr>
      <w:r>
        <w:rPr>
          <w:rFonts w:ascii="Trebuchet MS" w:eastAsia="Times New Roman" w:hAnsi="Trebuchet MS"/>
          <w:sz w:val="22"/>
        </w:rPr>
        <w:t xml:space="preserve">Moreover, recent political economy analysis suggests that where communities are not involved in sanitation provision – and without efforts at sensitisation and behaviour change – reforming practice remains a significant challenge. We will review recent analysis of these trends, and highlight some of the community-led strategies which have been developed in response. </w:t>
      </w:r>
    </w:p>
    <w:p w14:paraId="7A90DAF3" w14:textId="77777777" w:rsidR="009F76EA" w:rsidRDefault="009F76EA" w:rsidP="009F76EA">
      <w:pPr>
        <w:pStyle w:val="BodyText"/>
        <w:numPr>
          <w:ilvl w:val="0"/>
          <w:numId w:val="27"/>
        </w:numPr>
        <w:rPr>
          <w:rFonts w:ascii="Trebuchet MS" w:eastAsia="Times New Roman" w:hAnsi="Trebuchet MS"/>
          <w:sz w:val="22"/>
        </w:rPr>
      </w:pPr>
      <w:r w:rsidRPr="00BC245D">
        <w:rPr>
          <w:rFonts w:ascii="Trebuchet MS" w:eastAsia="Times New Roman" w:hAnsi="Trebuchet MS"/>
          <w:sz w:val="22"/>
        </w:rPr>
        <w:t>Primary education (</w:t>
      </w:r>
      <w:r w:rsidRPr="005D25FA">
        <w:rPr>
          <w:rFonts w:ascii="Trebuchet MS" w:eastAsia="Times New Roman" w:hAnsi="Trebuchet MS"/>
          <w:sz w:val="22"/>
        </w:rPr>
        <w:t>Goal 2: Achieve universal primary education</w:t>
      </w:r>
      <w:r>
        <w:rPr>
          <w:rFonts w:ascii="Trebuchet MS" w:eastAsia="Times New Roman" w:hAnsi="Trebuchet MS"/>
          <w:sz w:val="22"/>
        </w:rPr>
        <w:t>)</w:t>
      </w:r>
      <w:r w:rsidRPr="005D25FA">
        <w:rPr>
          <w:rFonts w:ascii="Trebuchet MS" w:eastAsia="Times New Roman" w:hAnsi="Trebuchet MS"/>
          <w:sz w:val="22"/>
        </w:rPr>
        <w:t xml:space="preserve"> </w:t>
      </w:r>
    </w:p>
    <w:p w14:paraId="222C85EE" w14:textId="77777777" w:rsidR="009F76EA" w:rsidRPr="00BC245D" w:rsidRDefault="009F76EA" w:rsidP="009F76EA">
      <w:pPr>
        <w:pStyle w:val="BodyText"/>
        <w:ind w:left="720"/>
        <w:rPr>
          <w:rFonts w:ascii="Trebuchet MS" w:eastAsia="Times New Roman" w:hAnsi="Trebuchet MS"/>
          <w:sz w:val="22"/>
        </w:rPr>
      </w:pPr>
      <w:r>
        <w:rPr>
          <w:rFonts w:ascii="Trebuchet MS" w:eastAsia="Times New Roman" w:hAnsi="Trebuchet MS"/>
          <w:sz w:val="22"/>
        </w:rPr>
        <w:t xml:space="preserve">Significant progress has been made in increasing access to primary education. In many countries, this has been supported through political will and the leadership of senior politicians. We will examine what sorts of governance arrangements seem to have best </w:t>
      </w:r>
      <w:r>
        <w:rPr>
          <w:rFonts w:ascii="Trebuchet MS" w:eastAsia="Times New Roman" w:hAnsi="Trebuchet MS"/>
          <w:sz w:val="22"/>
        </w:rPr>
        <w:lastRenderedPageBreak/>
        <w:t xml:space="preserve">supported improved access, as well as exploring incentives and arrangements that best support improvements in quality of education too.  </w:t>
      </w:r>
    </w:p>
    <w:p w14:paraId="211AB349" w14:textId="77777777" w:rsidR="009F76EA" w:rsidRDefault="009F76EA" w:rsidP="009F76EA">
      <w:pPr>
        <w:pStyle w:val="BodyText"/>
        <w:rPr>
          <w:rFonts w:ascii="Trebuchet MS" w:eastAsia="Times New Roman" w:hAnsi="Trebuchet MS"/>
          <w:sz w:val="22"/>
        </w:rPr>
      </w:pPr>
      <w:r w:rsidRPr="00BC245D">
        <w:rPr>
          <w:rFonts w:ascii="Trebuchet MS" w:eastAsia="Times New Roman" w:hAnsi="Trebuchet MS"/>
          <w:sz w:val="22"/>
        </w:rPr>
        <w:t xml:space="preserve">Where possible, we will also draw on available </w:t>
      </w:r>
      <w:proofErr w:type="spellStart"/>
      <w:r w:rsidRPr="00BC245D">
        <w:rPr>
          <w:rFonts w:ascii="Trebuchet MS" w:eastAsia="Times New Roman" w:hAnsi="Trebuchet MS"/>
          <w:sz w:val="22"/>
        </w:rPr>
        <w:t>sectoral</w:t>
      </w:r>
      <w:proofErr w:type="spellEnd"/>
      <w:r w:rsidRPr="00BC245D">
        <w:rPr>
          <w:rFonts w:ascii="Trebuchet MS" w:eastAsia="Times New Roman" w:hAnsi="Trebuchet MS"/>
          <w:sz w:val="22"/>
        </w:rPr>
        <w:t xml:space="preserve"> reviews which look across a set of countries and at systematic reviews and forms of impact assessment. </w:t>
      </w:r>
    </w:p>
    <w:p w14:paraId="185CB75C" w14:textId="77777777" w:rsidR="009F76EA" w:rsidRDefault="009F76EA" w:rsidP="009F76EA">
      <w:pPr>
        <w:pStyle w:val="BodyText"/>
        <w:rPr>
          <w:rFonts w:ascii="Trebuchet MS" w:eastAsia="Times New Roman" w:hAnsi="Trebuchet MS"/>
          <w:sz w:val="22"/>
        </w:rPr>
      </w:pPr>
    </w:p>
    <w:p w14:paraId="37F314F8" w14:textId="77777777" w:rsidR="009F76EA" w:rsidRPr="0013617A" w:rsidRDefault="009F76EA" w:rsidP="009F76EA">
      <w:pPr>
        <w:pStyle w:val="BodyText"/>
        <w:rPr>
          <w:rFonts w:ascii="Trebuchet MS" w:eastAsia="Times New Roman" w:hAnsi="Trebuchet MS"/>
          <w:i/>
          <w:sz w:val="22"/>
        </w:rPr>
      </w:pPr>
      <w:r w:rsidRPr="0013617A">
        <w:rPr>
          <w:rFonts w:ascii="Trebuchet MS" w:eastAsia="Times New Roman" w:hAnsi="Trebuchet MS"/>
          <w:i/>
          <w:sz w:val="22"/>
        </w:rPr>
        <w:t>3.2 Towards more systematic assessment</w:t>
      </w:r>
      <w:r>
        <w:rPr>
          <w:rFonts w:ascii="Trebuchet MS" w:eastAsia="Times New Roman" w:hAnsi="Trebuchet MS"/>
          <w:i/>
          <w:sz w:val="22"/>
        </w:rPr>
        <w:t>s</w:t>
      </w:r>
    </w:p>
    <w:p w14:paraId="0378520D" w14:textId="77777777" w:rsidR="009F76EA" w:rsidRDefault="009F76EA" w:rsidP="009F76EA">
      <w:pPr>
        <w:pStyle w:val="BodyText"/>
        <w:rPr>
          <w:rFonts w:ascii="Trebuchet MS" w:eastAsia="Times New Roman" w:hAnsi="Trebuchet MS"/>
          <w:sz w:val="22"/>
        </w:rPr>
      </w:pPr>
      <w:r w:rsidRPr="00BC245D">
        <w:rPr>
          <w:rFonts w:ascii="Trebuchet MS" w:eastAsia="Times New Roman" w:hAnsi="Trebuchet MS"/>
          <w:sz w:val="22"/>
        </w:rPr>
        <w:t xml:space="preserve">The cases </w:t>
      </w:r>
      <w:r>
        <w:rPr>
          <w:rFonts w:ascii="Trebuchet MS" w:eastAsia="Times New Roman" w:hAnsi="Trebuchet MS"/>
          <w:sz w:val="22"/>
        </w:rPr>
        <w:t xml:space="preserve">discussed above </w:t>
      </w:r>
      <w:r w:rsidRPr="00BC245D">
        <w:rPr>
          <w:rFonts w:ascii="Trebuchet MS" w:eastAsia="Times New Roman" w:hAnsi="Trebuchet MS"/>
          <w:sz w:val="22"/>
        </w:rPr>
        <w:t>are likely to suggest it may be most helpful to identify specific governance features that affect outcomes, rather than adopt blueprint or fixed models of democratic governance.</w:t>
      </w:r>
      <w:r>
        <w:rPr>
          <w:rFonts w:ascii="Trebuchet MS" w:eastAsia="Times New Roman" w:hAnsi="Trebuchet MS"/>
          <w:sz w:val="22"/>
        </w:rPr>
        <w:t xml:space="preserve"> This section will therefore reflect on what a more systematic assessment of these features might look like. This will cover three key areas:</w:t>
      </w:r>
    </w:p>
    <w:p w14:paraId="39F07C0A" w14:textId="77777777" w:rsidR="009F76EA" w:rsidRDefault="009F76EA" w:rsidP="009F76EA">
      <w:pPr>
        <w:pStyle w:val="BodyText"/>
        <w:numPr>
          <w:ilvl w:val="0"/>
          <w:numId w:val="32"/>
        </w:numPr>
        <w:rPr>
          <w:rFonts w:ascii="Trebuchet MS" w:eastAsia="Times New Roman" w:hAnsi="Trebuchet MS"/>
          <w:sz w:val="22"/>
        </w:rPr>
      </w:pPr>
      <w:r w:rsidRPr="00852D08">
        <w:rPr>
          <w:rFonts w:ascii="Trebuchet MS" w:eastAsia="Times New Roman" w:hAnsi="Trebuchet MS"/>
          <w:sz w:val="22"/>
          <w:u w:val="single"/>
        </w:rPr>
        <w:t xml:space="preserve">Understanding governance constraints and opportunities </w:t>
      </w:r>
      <w:r w:rsidRPr="00852D08">
        <w:rPr>
          <w:rFonts w:ascii="Trebuchet MS" w:eastAsia="Times New Roman" w:hAnsi="Trebuchet MS"/>
          <w:i/>
          <w:sz w:val="22"/>
          <w:u w:val="single"/>
        </w:rPr>
        <w:t>across</w:t>
      </w:r>
      <w:r w:rsidRPr="00852D08">
        <w:rPr>
          <w:rFonts w:ascii="Trebuchet MS" w:eastAsia="Times New Roman" w:hAnsi="Trebuchet MS"/>
          <w:sz w:val="22"/>
          <w:u w:val="single"/>
        </w:rPr>
        <w:t xml:space="preserve"> sectors</w:t>
      </w:r>
      <w:r>
        <w:rPr>
          <w:rFonts w:ascii="Trebuchet MS" w:eastAsia="Times New Roman" w:hAnsi="Trebuchet MS"/>
          <w:sz w:val="22"/>
        </w:rPr>
        <w:t xml:space="preserve">. </w:t>
      </w:r>
      <w:r w:rsidRPr="00BC245D">
        <w:rPr>
          <w:rFonts w:ascii="Trebuchet MS" w:eastAsia="Times New Roman" w:hAnsi="Trebuchet MS"/>
          <w:sz w:val="22"/>
        </w:rPr>
        <w:t xml:space="preserve">Drawing from the country </w:t>
      </w:r>
      <w:proofErr w:type="gramStart"/>
      <w:r w:rsidRPr="00BC245D">
        <w:rPr>
          <w:rFonts w:ascii="Trebuchet MS" w:eastAsia="Times New Roman" w:hAnsi="Trebuchet MS"/>
          <w:sz w:val="22"/>
        </w:rPr>
        <w:t>cases,</w:t>
      </w:r>
      <w:proofErr w:type="gramEnd"/>
      <w:r w:rsidRPr="00BC245D">
        <w:rPr>
          <w:rFonts w:ascii="Trebuchet MS" w:eastAsia="Times New Roman" w:hAnsi="Trebuchet MS"/>
          <w:sz w:val="22"/>
        </w:rPr>
        <w:t xml:space="preserve"> and some of the theoretical analysis on public goods and services, </w:t>
      </w:r>
      <w:r>
        <w:rPr>
          <w:rFonts w:ascii="Trebuchet MS" w:eastAsia="Times New Roman" w:hAnsi="Trebuchet MS"/>
          <w:sz w:val="22"/>
        </w:rPr>
        <w:t>we will explore what seem to be some of</w:t>
      </w:r>
      <w:r w:rsidRPr="00BC245D">
        <w:rPr>
          <w:rFonts w:ascii="Trebuchet MS" w:eastAsia="Times New Roman" w:hAnsi="Trebuchet MS"/>
          <w:sz w:val="22"/>
        </w:rPr>
        <w:t xml:space="preserve"> the common features affect</w:t>
      </w:r>
      <w:r>
        <w:rPr>
          <w:rFonts w:ascii="Trebuchet MS" w:eastAsia="Times New Roman" w:hAnsi="Trebuchet MS"/>
          <w:sz w:val="22"/>
        </w:rPr>
        <w:t>ing</w:t>
      </w:r>
      <w:r w:rsidRPr="00BC245D">
        <w:rPr>
          <w:rFonts w:ascii="Trebuchet MS" w:eastAsia="Times New Roman" w:hAnsi="Trebuchet MS"/>
          <w:sz w:val="22"/>
        </w:rPr>
        <w:t xml:space="preserve"> outcomes across sectors (and </w:t>
      </w:r>
      <w:r>
        <w:rPr>
          <w:rFonts w:ascii="Trebuchet MS" w:eastAsia="Times New Roman" w:hAnsi="Trebuchet MS"/>
          <w:sz w:val="22"/>
        </w:rPr>
        <w:t xml:space="preserve">which are </w:t>
      </w:r>
      <w:r w:rsidRPr="00BC245D">
        <w:rPr>
          <w:rFonts w:ascii="Trebuchet MS" w:eastAsia="Times New Roman" w:hAnsi="Trebuchet MS"/>
          <w:sz w:val="22"/>
        </w:rPr>
        <w:t>likely to be particularly important for MDG achievement)</w:t>
      </w:r>
      <w:r>
        <w:rPr>
          <w:rFonts w:ascii="Trebuchet MS" w:eastAsia="Times New Roman" w:hAnsi="Trebuchet MS"/>
          <w:sz w:val="22"/>
        </w:rPr>
        <w:t>. These may include: l</w:t>
      </w:r>
      <w:r w:rsidRPr="00F74F0E">
        <w:rPr>
          <w:rFonts w:ascii="Trebuchet MS" w:eastAsia="Times New Roman" w:hAnsi="Trebuchet MS"/>
          <w:sz w:val="22"/>
        </w:rPr>
        <w:t>evels of ‘commitment credibility’ of politicians</w:t>
      </w:r>
      <w:r>
        <w:rPr>
          <w:rFonts w:ascii="Trebuchet MS" w:eastAsia="Times New Roman" w:hAnsi="Trebuchet MS"/>
          <w:sz w:val="22"/>
        </w:rPr>
        <w:t xml:space="preserve">, </w:t>
      </w:r>
      <w:r w:rsidRPr="00F74F0E">
        <w:rPr>
          <w:rFonts w:ascii="Trebuchet MS" w:eastAsia="Times New Roman" w:hAnsi="Trebuchet MS"/>
          <w:sz w:val="22"/>
        </w:rPr>
        <w:t>levels of policy coherence (horizontally and vertically) for service delivery</w:t>
      </w:r>
      <w:r>
        <w:rPr>
          <w:rFonts w:ascii="Trebuchet MS" w:eastAsia="Times New Roman" w:hAnsi="Trebuchet MS"/>
          <w:sz w:val="22"/>
        </w:rPr>
        <w:t>, l</w:t>
      </w:r>
      <w:r w:rsidRPr="00F74F0E">
        <w:rPr>
          <w:rFonts w:ascii="Trebuchet MS" w:eastAsia="Times New Roman" w:hAnsi="Trebuchet MS"/>
          <w:sz w:val="22"/>
        </w:rPr>
        <w:t>evels of (or capacity for) collective action for delivery of public goods and services</w:t>
      </w:r>
      <w:r>
        <w:rPr>
          <w:rFonts w:ascii="Trebuchet MS" w:eastAsia="Times New Roman" w:hAnsi="Trebuchet MS"/>
          <w:sz w:val="22"/>
        </w:rPr>
        <w:t>, and i</w:t>
      </w:r>
      <w:r w:rsidRPr="00F74F0E">
        <w:rPr>
          <w:rFonts w:ascii="Trebuchet MS" w:eastAsia="Times New Roman" w:hAnsi="Trebuchet MS"/>
          <w:sz w:val="22"/>
        </w:rPr>
        <w:t>nformation flows and accompanying incentives</w:t>
      </w:r>
      <w:r>
        <w:rPr>
          <w:rFonts w:ascii="Trebuchet MS" w:eastAsia="Times New Roman" w:hAnsi="Trebuchet MS"/>
          <w:sz w:val="22"/>
        </w:rPr>
        <w:t xml:space="preserve">. </w:t>
      </w:r>
    </w:p>
    <w:p w14:paraId="59D351C4" w14:textId="77777777" w:rsidR="009F76EA" w:rsidRDefault="009F76EA" w:rsidP="009F76EA">
      <w:pPr>
        <w:pStyle w:val="BodyText"/>
        <w:numPr>
          <w:ilvl w:val="0"/>
          <w:numId w:val="32"/>
        </w:numPr>
        <w:rPr>
          <w:rFonts w:ascii="Trebuchet MS" w:eastAsia="Times New Roman" w:hAnsi="Trebuchet MS"/>
          <w:sz w:val="22"/>
        </w:rPr>
      </w:pPr>
      <w:r w:rsidRPr="00852D08">
        <w:rPr>
          <w:rFonts w:ascii="Trebuchet MS" w:eastAsia="Times New Roman" w:hAnsi="Trebuchet MS"/>
          <w:sz w:val="22"/>
          <w:u w:val="single"/>
        </w:rPr>
        <w:t>Understand</w:t>
      </w:r>
      <w:r>
        <w:rPr>
          <w:rFonts w:ascii="Trebuchet MS" w:eastAsia="Times New Roman" w:hAnsi="Trebuchet MS"/>
          <w:sz w:val="22"/>
          <w:u w:val="single"/>
        </w:rPr>
        <w:t>ing</w:t>
      </w:r>
      <w:r w:rsidRPr="00852D08">
        <w:rPr>
          <w:rFonts w:ascii="Trebuchet MS" w:eastAsia="Times New Roman" w:hAnsi="Trebuchet MS"/>
          <w:sz w:val="22"/>
          <w:u w:val="single"/>
        </w:rPr>
        <w:t xml:space="preserve"> how these </w:t>
      </w:r>
      <w:r>
        <w:rPr>
          <w:rFonts w:ascii="Trebuchet MS" w:eastAsia="Times New Roman" w:hAnsi="Trebuchet MS"/>
          <w:sz w:val="22"/>
          <w:u w:val="single"/>
        </w:rPr>
        <w:t xml:space="preserve">constraints and opportunities </w:t>
      </w:r>
      <w:r w:rsidRPr="00852D08">
        <w:rPr>
          <w:rFonts w:ascii="Trebuchet MS" w:eastAsia="Times New Roman" w:hAnsi="Trebuchet MS"/>
          <w:sz w:val="22"/>
          <w:u w:val="single"/>
        </w:rPr>
        <w:t xml:space="preserve">play out </w:t>
      </w:r>
      <w:r w:rsidRPr="00852D08">
        <w:rPr>
          <w:rFonts w:ascii="Trebuchet MS" w:eastAsia="Times New Roman" w:hAnsi="Trebuchet MS"/>
          <w:i/>
          <w:sz w:val="22"/>
          <w:u w:val="single"/>
        </w:rPr>
        <w:t>within</w:t>
      </w:r>
      <w:r w:rsidRPr="00852D08">
        <w:rPr>
          <w:rFonts w:ascii="Trebuchet MS" w:eastAsia="Times New Roman" w:hAnsi="Trebuchet MS"/>
          <w:sz w:val="22"/>
          <w:u w:val="single"/>
        </w:rPr>
        <w:t xml:space="preserve"> sectors</w:t>
      </w:r>
      <w:r>
        <w:rPr>
          <w:rFonts w:ascii="Trebuchet MS" w:eastAsia="Times New Roman" w:hAnsi="Trebuchet MS"/>
          <w:sz w:val="22"/>
        </w:rPr>
        <w:t xml:space="preserve">. </w:t>
      </w:r>
      <w:r w:rsidRPr="0003650F">
        <w:rPr>
          <w:rFonts w:ascii="Trebuchet MS" w:eastAsia="Times New Roman" w:hAnsi="Trebuchet MS"/>
          <w:sz w:val="22"/>
        </w:rPr>
        <w:t>Th</w:t>
      </w:r>
      <w:r>
        <w:rPr>
          <w:rFonts w:ascii="Trebuchet MS" w:eastAsia="Times New Roman" w:hAnsi="Trebuchet MS"/>
          <w:sz w:val="22"/>
        </w:rPr>
        <w:t>is has been less well analysed to date, but there are some emerging findings on the nature of sector characteristics (and related to choices of modes of provision or who delivers services and how). For example, s</w:t>
      </w:r>
      <w:r w:rsidRPr="0003650F">
        <w:rPr>
          <w:rFonts w:ascii="Trebuchet MS" w:eastAsia="Times New Roman" w:hAnsi="Trebuchet MS"/>
          <w:sz w:val="22"/>
        </w:rPr>
        <w:t>ome sectors (such as water supply) may be particularly vulnerable to commitment credibility issues</w:t>
      </w:r>
      <w:r>
        <w:rPr>
          <w:rFonts w:ascii="Trebuchet MS" w:eastAsia="Times New Roman" w:hAnsi="Trebuchet MS"/>
          <w:sz w:val="22"/>
        </w:rPr>
        <w:t>. Other</w:t>
      </w:r>
      <w:r w:rsidRPr="0003650F">
        <w:rPr>
          <w:rFonts w:ascii="Trebuchet MS" w:eastAsia="Times New Roman" w:hAnsi="Trebuchet MS"/>
          <w:sz w:val="22"/>
        </w:rPr>
        <w:t xml:space="preserve"> sectors (such as sanitation) may be particularly amenable to collecti</w:t>
      </w:r>
      <w:r>
        <w:rPr>
          <w:rFonts w:ascii="Trebuchet MS" w:eastAsia="Times New Roman" w:hAnsi="Trebuchet MS"/>
          <w:sz w:val="22"/>
        </w:rPr>
        <w:t>ve</w:t>
      </w:r>
      <w:r w:rsidRPr="0003650F">
        <w:rPr>
          <w:rFonts w:ascii="Trebuchet MS" w:eastAsia="Times New Roman" w:hAnsi="Trebuchet MS"/>
          <w:sz w:val="22"/>
        </w:rPr>
        <w:t xml:space="preserve"> action solutions and to more demand </w:t>
      </w:r>
      <w:proofErr w:type="gramStart"/>
      <w:r w:rsidRPr="0003650F">
        <w:rPr>
          <w:rFonts w:ascii="Trebuchet MS" w:eastAsia="Times New Roman" w:hAnsi="Trebuchet MS"/>
          <w:sz w:val="22"/>
        </w:rPr>
        <w:t>led,</w:t>
      </w:r>
      <w:proofErr w:type="gramEnd"/>
      <w:r w:rsidRPr="0003650F">
        <w:rPr>
          <w:rFonts w:ascii="Trebuchet MS" w:eastAsia="Times New Roman" w:hAnsi="Trebuchet MS"/>
          <w:sz w:val="22"/>
        </w:rPr>
        <w:t xml:space="preserve"> community involvement.</w:t>
      </w:r>
    </w:p>
    <w:p w14:paraId="1AF4A6A5" w14:textId="77777777" w:rsidR="009F76EA" w:rsidRPr="0003650F" w:rsidRDefault="009F76EA" w:rsidP="009F76EA">
      <w:pPr>
        <w:pStyle w:val="BodyText"/>
        <w:numPr>
          <w:ilvl w:val="0"/>
          <w:numId w:val="32"/>
        </w:numPr>
        <w:rPr>
          <w:rFonts w:ascii="Trebuchet MS" w:eastAsia="Times New Roman" w:hAnsi="Trebuchet MS"/>
          <w:sz w:val="22"/>
        </w:rPr>
      </w:pPr>
      <w:r w:rsidRPr="00852D08">
        <w:rPr>
          <w:rFonts w:ascii="Trebuchet MS" w:eastAsia="Times New Roman" w:hAnsi="Trebuchet MS"/>
          <w:sz w:val="22"/>
          <w:u w:val="single"/>
        </w:rPr>
        <w:t>Assessing the particular challenges of fragile states</w:t>
      </w:r>
      <w:r>
        <w:rPr>
          <w:rFonts w:ascii="Trebuchet MS" w:eastAsia="Times New Roman" w:hAnsi="Trebuchet MS"/>
          <w:sz w:val="22"/>
        </w:rPr>
        <w:t xml:space="preserve">. </w:t>
      </w:r>
      <w:r w:rsidRPr="0003650F">
        <w:rPr>
          <w:rFonts w:ascii="Trebuchet MS" w:eastAsia="Times New Roman" w:hAnsi="Trebuchet MS"/>
          <w:sz w:val="22"/>
        </w:rPr>
        <w:t xml:space="preserve">We will also briefly reflect on the experiences of different types of countries, with a particular focus on fragile states and the particular governance constraints – and opportunities – for MDG achievement. </w:t>
      </w:r>
      <w:r>
        <w:rPr>
          <w:rStyle w:val="FootnoteReference"/>
          <w:rFonts w:eastAsia="Times New Roman"/>
        </w:rPr>
        <w:footnoteReference w:id="1"/>
      </w:r>
    </w:p>
    <w:p w14:paraId="36A9C4A2" w14:textId="77777777" w:rsidR="009F76EA" w:rsidRDefault="009F76EA" w:rsidP="009F76EA">
      <w:pPr>
        <w:pStyle w:val="BodyText"/>
        <w:rPr>
          <w:rFonts w:ascii="Trebuchet MS" w:eastAsia="Times New Roman" w:hAnsi="Trebuchet MS"/>
          <w:sz w:val="22"/>
        </w:rPr>
      </w:pPr>
    </w:p>
    <w:p w14:paraId="29E959A3" w14:textId="77777777" w:rsidR="009F76EA" w:rsidRPr="00AF1C36" w:rsidRDefault="009F76EA" w:rsidP="009F76EA">
      <w:pPr>
        <w:pStyle w:val="BodyText"/>
        <w:numPr>
          <w:ilvl w:val="0"/>
          <w:numId w:val="33"/>
        </w:numPr>
        <w:rPr>
          <w:rFonts w:ascii="Trebuchet MS" w:eastAsia="Times New Roman" w:hAnsi="Trebuchet MS"/>
          <w:color w:val="5D75A9" w:themeColor="accent2"/>
          <w:sz w:val="26"/>
          <w:szCs w:val="26"/>
        </w:rPr>
      </w:pPr>
      <w:r>
        <w:rPr>
          <w:rFonts w:ascii="Trebuchet MS" w:eastAsia="Times New Roman" w:hAnsi="Trebuchet MS"/>
          <w:color w:val="5D75A9" w:themeColor="accent2"/>
          <w:sz w:val="26"/>
          <w:szCs w:val="26"/>
        </w:rPr>
        <w:t xml:space="preserve">Assessing the </w:t>
      </w:r>
      <w:r w:rsidRPr="00AF1C36">
        <w:rPr>
          <w:rFonts w:ascii="Trebuchet MS" w:eastAsia="Times New Roman" w:hAnsi="Trebuchet MS"/>
          <w:color w:val="5D75A9" w:themeColor="accent2"/>
          <w:sz w:val="26"/>
          <w:szCs w:val="26"/>
        </w:rPr>
        <w:t xml:space="preserve">evidence </w:t>
      </w:r>
      <w:r>
        <w:rPr>
          <w:rFonts w:ascii="Trebuchet MS" w:eastAsia="Times New Roman" w:hAnsi="Trebuchet MS"/>
          <w:color w:val="5D75A9" w:themeColor="accent2"/>
          <w:sz w:val="26"/>
          <w:szCs w:val="26"/>
        </w:rPr>
        <w:t>bas</w:t>
      </w:r>
      <w:r w:rsidRPr="00AF1C36">
        <w:rPr>
          <w:rFonts w:ascii="Trebuchet MS" w:eastAsia="Times New Roman" w:hAnsi="Trebuchet MS"/>
          <w:color w:val="5D75A9" w:themeColor="accent2"/>
          <w:sz w:val="26"/>
          <w:szCs w:val="26"/>
        </w:rPr>
        <w:t>e (</w:t>
      </w:r>
      <w:r>
        <w:rPr>
          <w:rFonts w:ascii="Trebuchet MS" w:eastAsia="Times New Roman" w:hAnsi="Trebuchet MS"/>
          <w:color w:val="5D75A9" w:themeColor="accent2"/>
          <w:sz w:val="26"/>
          <w:szCs w:val="26"/>
        </w:rPr>
        <w:t>2</w:t>
      </w:r>
      <w:r w:rsidRPr="00AF1C36">
        <w:rPr>
          <w:rFonts w:ascii="Trebuchet MS" w:eastAsia="Times New Roman" w:hAnsi="Trebuchet MS"/>
          <w:color w:val="5D75A9" w:themeColor="accent2"/>
          <w:sz w:val="26"/>
          <w:szCs w:val="26"/>
        </w:rPr>
        <w:t xml:space="preserve"> pages)</w:t>
      </w:r>
    </w:p>
    <w:p w14:paraId="7820936F" w14:textId="77777777" w:rsidR="009F76EA" w:rsidRDefault="009F76EA" w:rsidP="009F76EA">
      <w:pPr>
        <w:pStyle w:val="BodyText"/>
        <w:rPr>
          <w:rFonts w:ascii="Trebuchet MS" w:eastAsia="Times New Roman" w:hAnsi="Trebuchet MS"/>
          <w:sz w:val="22"/>
        </w:rPr>
      </w:pPr>
      <w:r w:rsidRPr="00BC245D">
        <w:rPr>
          <w:rFonts w:ascii="Trebuchet MS" w:eastAsia="Times New Roman" w:hAnsi="Trebuchet MS"/>
          <w:sz w:val="22"/>
        </w:rPr>
        <w:t>This section will identify gaps in evidence and knowledge, drawing from the analysis in previous sections.</w:t>
      </w:r>
      <w:r>
        <w:rPr>
          <w:rFonts w:ascii="Trebuchet MS" w:eastAsia="Times New Roman" w:hAnsi="Trebuchet MS"/>
          <w:sz w:val="22"/>
        </w:rPr>
        <w:t xml:space="preserve"> Empirical gaps in relation to governance assessments are well known, and in part reflect challenges for attribution and identifying causal effects between institutions, incentives and eventual outcomes. Moreover, while there are a growing number of sector studies, in general the evidence base is </w:t>
      </w:r>
      <w:r w:rsidRPr="00BC245D">
        <w:rPr>
          <w:rFonts w:ascii="Trebuchet MS" w:eastAsia="Times New Roman" w:hAnsi="Trebuchet MS"/>
          <w:sz w:val="22"/>
        </w:rPr>
        <w:t>fragmented and patchy, largely building on stand</w:t>
      </w:r>
      <w:r>
        <w:rPr>
          <w:rFonts w:ascii="Trebuchet MS" w:eastAsia="Times New Roman" w:hAnsi="Trebuchet MS"/>
          <w:sz w:val="22"/>
        </w:rPr>
        <w:t>-</w:t>
      </w:r>
      <w:r w:rsidRPr="00BC245D">
        <w:rPr>
          <w:rFonts w:ascii="Trebuchet MS" w:eastAsia="Times New Roman" w:hAnsi="Trebuchet MS"/>
          <w:sz w:val="22"/>
        </w:rPr>
        <w:t xml:space="preserve">alone country case studies, </w:t>
      </w:r>
      <w:r>
        <w:rPr>
          <w:rFonts w:ascii="Trebuchet MS" w:eastAsia="Times New Roman" w:hAnsi="Trebuchet MS"/>
          <w:sz w:val="22"/>
        </w:rPr>
        <w:t xml:space="preserve">which </w:t>
      </w:r>
      <w:r w:rsidRPr="00BC245D">
        <w:rPr>
          <w:rFonts w:ascii="Trebuchet MS" w:eastAsia="Times New Roman" w:hAnsi="Trebuchet MS"/>
          <w:sz w:val="22"/>
        </w:rPr>
        <w:t>mak</w:t>
      </w:r>
      <w:r>
        <w:rPr>
          <w:rFonts w:ascii="Trebuchet MS" w:eastAsia="Times New Roman" w:hAnsi="Trebuchet MS"/>
          <w:sz w:val="22"/>
        </w:rPr>
        <w:t>es</w:t>
      </w:r>
      <w:r w:rsidRPr="00BC245D">
        <w:rPr>
          <w:rFonts w:ascii="Trebuchet MS" w:eastAsia="Times New Roman" w:hAnsi="Trebuchet MS"/>
          <w:sz w:val="22"/>
        </w:rPr>
        <w:t xml:space="preserve"> cross country analysis challenging</w:t>
      </w:r>
      <w:r>
        <w:rPr>
          <w:rFonts w:ascii="Trebuchet MS" w:eastAsia="Times New Roman" w:hAnsi="Trebuchet MS"/>
          <w:sz w:val="22"/>
        </w:rPr>
        <w:t>.</w:t>
      </w:r>
    </w:p>
    <w:p w14:paraId="14C505A2" w14:textId="77777777" w:rsidR="009F76EA" w:rsidRDefault="009F76EA" w:rsidP="009F76EA">
      <w:pPr>
        <w:pStyle w:val="BodyText"/>
        <w:rPr>
          <w:rFonts w:ascii="Trebuchet MS" w:eastAsia="Times New Roman" w:hAnsi="Trebuchet MS"/>
          <w:sz w:val="22"/>
        </w:rPr>
      </w:pPr>
      <w:r>
        <w:rPr>
          <w:rFonts w:ascii="Trebuchet MS" w:eastAsia="Times New Roman" w:hAnsi="Trebuchet MS"/>
          <w:sz w:val="22"/>
        </w:rPr>
        <w:t xml:space="preserve">This section will briefly review some of the main attempts in recent years to address these gaps, both through methods which try to reconstruct causal chains (including forms of impact assessment, RCTs and so on) and through political economy methods that aim to better understand assumptions, theories of change and incentives for reform. </w:t>
      </w:r>
    </w:p>
    <w:p w14:paraId="6575D883" w14:textId="77777777" w:rsidR="009F76EA" w:rsidRPr="00BC245D" w:rsidRDefault="009F76EA" w:rsidP="009F76EA">
      <w:pPr>
        <w:pStyle w:val="BodyText"/>
        <w:rPr>
          <w:rFonts w:ascii="Trebuchet MS" w:eastAsia="Times New Roman" w:hAnsi="Trebuchet MS"/>
          <w:sz w:val="22"/>
        </w:rPr>
      </w:pPr>
      <w:r>
        <w:rPr>
          <w:rFonts w:ascii="Trebuchet MS" w:eastAsia="Times New Roman" w:hAnsi="Trebuchet MS"/>
          <w:sz w:val="22"/>
        </w:rPr>
        <w:t xml:space="preserve">It will provide a brief overview of some of the contributions of these two approaches, and some of their limitations. It will then explore whether more systematic appraisal of governance constraints and opportunities at the sector level provides useful paths for future assessments. </w:t>
      </w:r>
    </w:p>
    <w:p w14:paraId="7500106C" w14:textId="77777777" w:rsidR="009F76EA" w:rsidRDefault="009F76EA" w:rsidP="009F76EA">
      <w:pPr>
        <w:pStyle w:val="BodyText"/>
        <w:rPr>
          <w:rFonts w:ascii="Trebuchet MS" w:eastAsia="Times New Roman" w:hAnsi="Trebuchet MS"/>
          <w:color w:val="5D75A9" w:themeColor="accent2"/>
          <w:sz w:val="26"/>
          <w:szCs w:val="26"/>
        </w:rPr>
      </w:pPr>
      <w:r>
        <w:rPr>
          <w:rFonts w:ascii="Trebuchet MS" w:eastAsia="Times New Roman" w:hAnsi="Trebuchet MS"/>
          <w:color w:val="5D75A9" w:themeColor="accent2"/>
          <w:sz w:val="26"/>
          <w:szCs w:val="26"/>
        </w:rPr>
        <w:lastRenderedPageBreak/>
        <w:t>Indicative list of references</w:t>
      </w:r>
    </w:p>
    <w:p w14:paraId="1E830296" w14:textId="77777777" w:rsidR="009F76EA" w:rsidRDefault="009F76EA" w:rsidP="009F76EA">
      <w:pPr>
        <w:pStyle w:val="BodyText"/>
        <w:rPr>
          <w:rFonts w:ascii="Trebuchet MS" w:eastAsia="Times New Roman" w:hAnsi="Trebuchet MS"/>
          <w:sz w:val="22"/>
        </w:rPr>
      </w:pPr>
      <w:r>
        <w:rPr>
          <w:rFonts w:ascii="Trebuchet MS" w:eastAsia="Times New Roman" w:hAnsi="Trebuchet MS"/>
          <w:sz w:val="22"/>
        </w:rPr>
        <w:t>A full reference list will be provided in the first draft, but some of the key texts to be used include:</w:t>
      </w:r>
    </w:p>
    <w:p w14:paraId="2306F801" w14:textId="77777777" w:rsidR="009F76EA" w:rsidRDefault="009F76EA" w:rsidP="009F76EA">
      <w:pPr>
        <w:pStyle w:val="BodyText"/>
        <w:numPr>
          <w:ilvl w:val="0"/>
          <w:numId w:val="26"/>
        </w:numPr>
        <w:rPr>
          <w:rFonts w:ascii="Trebuchet MS" w:eastAsia="Times New Roman" w:hAnsi="Trebuchet MS"/>
          <w:sz w:val="22"/>
        </w:rPr>
      </w:pPr>
      <w:r w:rsidRPr="00BC245D">
        <w:rPr>
          <w:rFonts w:ascii="Trebuchet MS" w:eastAsia="Times New Roman" w:hAnsi="Trebuchet MS"/>
          <w:sz w:val="22"/>
        </w:rPr>
        <w:t>Batley, R., and Mcloughlin, C., 2010, ‘Engagement with Non-State Service Providers in Fragile States: Reconciling State-Building and Service Delivery’, Development Policy Review, vol. 28, no. 2, pp. 131-15</w:t>
      </w:r>
      <w:r>
        <w:rPr>
          <w:rFonts w:ascii="Trebuchet MS" w:eastAsia="Times New Roman" w:hAnsi="Trebuchet MS"/>
          <w:sz w:val="22"/>
        </w:rPr>
        <w:t>4; Batley, R (2004) The politics of service delivery reform, Development and Change 35(1): 31-56</w:t>
      </w:r>
    </w:p>
    <w:p w14:paraId="5D650B17" w14:textId="77777777" w:rsidR="009F76EA" w:rsidRDefault="009F76EA" w:rsidP="009F76EA">
      <w:pPr>
        <w:pStyle w:val="BodyText"/>
        <w:numPr>
          <w:ilvl w:val="0"/>
          <w:numId w:val="26"/>
        </w:numPr>
        <w:rPr>
          <w:rFonts w:ascii="Trebuchet MS" w:eastAsia="Times New Roman" w:hAnsi="Trebuchet MS"/>
          <w:sz w:val="22"/>
        </w:rPr>
      </w:pPr>
      <w:r w:rsidRPr="00BC245D">
        <w:rPr>
          <w:rFonts w:ascii="Trebuchet MS" w:eastAsia="Times New Roman" w:hAnsi="Trebuchet MS"/>
          <w:sz w:val="22"/>
        </w:rPr>
        <w:t>Booth</w:t>
      </w:r>
      <w:r>
        <w:rPr>
          <w:rFonts w:ascii="Trebuchet MS" w:eastAsia="Times New Roman" w:hAnsi="Trebuchet MS"/>
          <w:sz w:val="22"/>
        </w:rPr>
        <w:t>, D</w:t>
      </w:r>
      <w:r w:rsidRPr="00BC245D">
        <w:rPr>
          <w:rFonts w:ascii="Trebuchet MS" w:eastAsia="Times New Roman" w:hAnsi="Trebuchet MS"/>
          <w:sz w:val="22"/>
        </w:rPr>
        <w:t xml:space="preserve"> </w:t>
      </w:r>
      <w:r>
        <w:rPr>
          <w:rFonts w:ascii="Trebuchet MS" w:eastAsia="Times New Roman" w:hAnsi="Trebuchet MS"/>
          <w:sz w:val="22"/>
        </w:rPr>
        <w:t>(</w:t>
      </w:r>
      <w:r w:rsidRPr="00BC245D">
        <w:rPr>
          <w:rFonts w:ascii="Trebuchet MS" w:eastAsia="Times New Roman" w:hAnsi="Trebuchet MS"/>
          <w:sz w:val="22"/>
        </w:rPr>
        <w:t>2011</w:t>
      </w:r>
      <w:r>
        <w:rPr>
          <w:rFonts w:ascii="Trebuchet MS" w:eastAsia="Times New Roman" w:hAnsi="Trebuchet MS"/>
          <w:sz w:val="22"/>
        </w:rPr>
        <w:t xml:space="preserve">) Towards a theory of local governance and public goods provision, IDS Bulletin, 42(2) 11-21 </w:t>
      </w:r>
    </w:p>
    <w:p w14:paraId="08674B33" w14:textId="77777777" w:rsidR="009F76EA" w:rsidRPr="00064BFB" w:rsidRDefault="009F76EA" w:rsidP="009F76EA">
      <w:pPr>
        <w:pStyle w:val="ListParagraph"/>
        <w:numPr>
          <w:ilvl w:val="0"/>
          <w:numId w:val="26"/>
        </w:numPr>
        <w:spacing w:after="165"/>
        <w:contextualSpacing w:val="0"/>
        <w:rPr>
          <w:rFonts w:ascii="Trebuchet MS" w:eastAsia="Times New Roman" w:hAnsi="Trebuchet MS" w:cs="Arial"/>
          <w:sz w:val="22"/>
        </w:rPr>
      </w:pPr>
      <w:bookmarkStart w:id="1" w:name="_Toc321238384"/>
      <w:r w:rsidRPr="00064BFB">
        <w:rPr>
          <w:rFonts w:ascii="Trebuchet MS" w:hAnsi="Trebuchet MS" w:cs="Arial"/>
          <w:sz w:val="22"/>
        </w:rPr>
        <w:t xml:space="preserve">Diana </w:t>
      </w:r>
      <w:proofErr w:type="spellStart"/>
      <w:r w:rsidRPr="00064BFB">
        <w:rPr>
          <w:rFonts w:ascii="Trebuchet MS" w:hAnsi="Trebuchet MS" w:cs="Arial"/>
          <w:sz w:val="22"/>
        </w:rPr>
        <w:t>Cammack</w:t>
      </w:r>
      <w:proofErr w:type="spellEnd"/>
      <w:r w:rsidRPr="00064BFB">
        <w:rPr>
          <w:rFonts w:ascii="Trebuchet MS" w:hAnsi="Trebuchet MS" w:cs="Arial"/>
          <w:sz w:val="22"/>
        </w:rPr>
        <w:t xml:space="preserve"> and Edge </w:t>
      </w:r>
      <w:proofErr w:type="spellStart"/>
      <w:r w:rsidRPr="00064BFB">
        <w:rPr>
          <w:rFonts w:ascii="Trebuchet MS" w:hAnsi="Trebuchet MS" w:cs="Arial"/>
          <w:sz w:val="22"/>
        </w:rPr>
        <w:t>Kanyangolo</w:t>
      </w:r>
      <w:proofErr w:type="spellEnd"/>
      <w:r w:rsidRPr="00064BFB">
        <w:rPr>
          <w:rFonts w:ascii="Trebuchet MS" w:hAnsi="Trebuchet MS" w:cs="Arial"/>
          <w:sz w:val="22"/>
        </w:rPr>
        <w:t xml:space="preserve"> (2010), ‘Local governance and public goods in Malawi’</w:t>
      </w:r>
      <w:bookmarkEnd w:id="1"/>
      <w:r w:rsidRPr="00064BFB">
        <w:rPr>
          <w:rFonts w:ascii="Trebuchet MS" w:hAnsi="Trebuchet MS" w:cs="Arial"/>
          <w:sz w:val="22"/>
        </w:rPr>
        <w:t xml:space="preserve"> Africa Power and Politics Programme Working Paper 11. London: Overseas Development Institute</w:t>
      </w:r>
    </w:p>
    <w:p w14:paraId="7DBC8ED5" w14:textId="77777777" w:rsidR="009F76EA" w:rsidRDefault="009F76EA" w:rsidP="009F76EA">
      <w:pPr>
        <w:pStyle w:val="BodyText"/>
        <w:numPr>
          <w:ilvl w:val="0"/>
          <w:numId w:val="26"/>
        </w:numPr>
        <w:rPr>
          <w:rFonts w:ascii="Trebuchet MS" w:eastAsia="Times New Roman" w:hAnsi="Trebuchet MS"/>
          <w:sz w:val="22"/>
        </w:rPr>
      </w:pPr>
      <w:r w:rsidRPr="00BC245D">
        <w:rPr>
          <w:rFonts w:ascii="Trebuchet MS" w:eastAsia="Times New Roman" w:hAnsi="Trebuchet MS"/>
          <w:sz w:val="22"/>
        </w:rPr>
        <w:t>Carbone (2012) Do new democracies deliver social welfare? Political regimes and health policy in Ghana and Cameroon, Democratization, Vol. 19, No. 2, April 2012, 157–183</w:t>
      </w:r>
    </w:p>
    <w:p w14:paraId="45C08122" w14:textId="77777777" w:rsidR="009F76EA" w:rsidRPr="00A80AD9" w:rsidRDefault="009F76EA" w:rsidP="009F76EA">
      <w:pPr>
        <w:pStyle w:val="BodyText"/>
        <w:numPr>
          <w:ilvl w:val="0"/>
          <w:numId w:val="26"/>
        </w:numPr>
        <w:rPr>
          <w:rFonts w:ascii="Trebuchet MS" w:eastAsia="Times New Roman" w:hAnsi="Trebuchet MS"/>
          <w:sz w:val="22"/>
        </w:rPr>
      </w:pPr>
      <w:r w:rsidRPr="00064BFB">
        <w:rPr>
          <w:rFonts w:ascii="Trebuchet MS" w:hAnsi="Trebuchet MS" w:cs="Arial"/>
          <w:sz w:val="22"/>
        </w:rPr>
        <w:t>The Centre for the Future State (2010) “An Upside Down View of Governance”. Brighton: IDS</w:t>
      </w:r>
      <w:r>
        <w:rPr>
          <w:rFonts w:ascii="Trebuchet MS" w:hAnsi="Trebuchet MS" w:cs="Arial"/>
          <w:sz w:val="22"/>
        </w:rPr>
        <w:t>: Brighton</w:t>
      </w:r>
    </w:p>
    <w:p w14:paraId="0526C3A8" w14:textId="77777777" w:rsidR="009F76EA" w:rsidRPr="00130E60" w:rsidRDefault="009F76EA" w:rsidP="009F76EA">
      <w:pPr>
        <w:pStyle w:val="BodyText"/>
        <w:numPr>
          <w:ilvl w:val="0"/>
          <w:numId w:val="26"/>
        </w:numPr>
        <w:rPr>
          <w:rFonts w:ascii="Trebuchet MS" w:eastAsia="Times New Roman" w:hAnsi="Trebuchet MS"/>
          <w:sz w:val="22"/>
        </w:rPr>
      </w:pPr>
      <w:r>
        <w:rPr>
          <w:rFonts w:ascii="Trebuchet MS" w:eastAsia="Times New Roman" w:hAnsi="Trebuchet MS"/>
          <w:sz w:val="22"/>
        </w:rPr>
        <w:t xml:space="preserve">Chambers, V (2012) </w:t>
      </w:r>
      <w:r w:rsidRPr="00130E60">
        <w:rPr>
          <w:rFonts w:ascii="Trebuchet MS" w:eastAsia="Times New Roman" w:hAnsi="Trebuchet MS"/>
          <w:sz w:val="22"/>
        </w:rPr>
        <w:t>Improving maternal health</w:t>
      </w:r>
      <w:r>
        <w:rPr>
          <w:rFonts w:ascii="Trebuchet MS" w:eastAsia="Times New Roman" w:hAnsi="Trebuchet MS"/>
          <w:sz w:val="22"/>
        </w:rPr>
        <w:t xml:space="preserve"> </w:t>
      </w:r>
      <w:r w:rsidRPr="00130E60">
        <w:rPr>
          <w:rFonts w:ascii="Trebuchet MS" w:eastAsia="Times New Roman" w:hAnsi="Trebuchet MS"/>
          <w:sz w:val="22"/>
        </w:rPr>
        <w:t>when resources are limited</w:t>
      </w:r>
      <w:r>
        <w:rPr>
          <w:rFonts w:ascii="Trebuchet MS" w:eastAsia="Times New Roman" w:hAnsi="Trebuchet MS"/>
          <w:sz w:val="22"/>
        </w:rPr>
        <w:t xml:space="preserve">, </w:t>
      </w:r>
      <w:r w:rsidRPr="00130E60">
        <w:rPr>
          <w:rFonts w:ascii="Trebuchet MS" w:eastAsia="Times New Roman" w:hAnsi="Trebuchet MS"/>
          <w:sz w:val="22"/>
        </w:rPr>
        <w:t>Safe motherhood in rural Rwanda</w:t>
      </w:r>
      <w:r>
        <w:rPr>
          <w:rFonts w:ascii="Trebuchet MS" w:eastAsia="Times New Roman" w:hAnsi="Trebuchet MS"/>
          <w:sz w:val="22"/>
        </w:rPr>
        <w:t>, Africa Power and Politics Policy Brief</w:t>
      </w:r>
    </w:p>
    <w:p w14:paraId="3B2CB064" w14:textId="77777777" w:rsidR="009F76EA" w:rsidRPr="00064BFB" w:rsidRDefault="009F76EA" w:rsidP="009F76EA">
      <w:pPr>
        <w:pStyle w:val="ListParagraph"/>
        <w:numPr>
          <w:ilvl w:val="0"/>
          <w:numId w:val="26"/>
        </w:numPr>
        <w:suppressAutoHyphens/>
        <w:autoSpaceDN w:val="0"/>
        <w:spacing w:after="165"/>
        <w:contextualSpacing w:val="0"/>
        <w:textAlignment w:val="baseline"/>
        <w:rPr>
          <w:rFonts w:ascii="Trebuchet MS" w:hAnsi="Trebuchet MS" w:cs="Arial"/>
          <w:sz w:val="22"/>
        </w:rPr>
      </w:pPr>
      <w:r w:rsidRPr="00064BFB">
        <w:rPr>
          <w:rFonts w:ascii="Trebuchet MS" w:hAnsi="Trebuchet MS" w:cs="Arial"/>
          <w:sz w:val="22"/>
        </w:rPr>
        <w:t>Darrow “The Millennium Development Goals: Milestones or Millstones? Human Rights Priorities for the Post-2015 Agenda” (forthcoming, 2012)</w:t>
      </w:r>
      <w:r w:rsidRPr="00064BFB">
        <w:rPr>
          <w:rFonts w:ascii="Trebuchet MS" w:hAnsi="Trebuchet MS" w:cs="Arial"/>
          <w:b/>
          <w:sz w:val="22"/>
        </w:rPr>
        <w:t xml:space="preserve"> </w:t>
      </w:r>
      <w:r w:rsidRPr="00064BFB">
        <w:rPr>
          <w:rFonts w:ascii="Trebuchet MS" w:hAnsi="Trebuchet MS" w:cs="Arial"/>
          <w:sz w:val="22"/>
        </w:rPr>
        <w:t xml:space="preserve"> </w:t>
      </w:r>
    </w:p>
    <w:p w14:paraId="3C77B42F" w14:textId="77777777" w:rsidR="009F76EA" w:rsidRPr="00A80AD9" w:rsidRDefault="009F76EA" w:rsidP="009F76EA">
      <w:pPr>
        <w:pStyle w:val="BodyText"/>
        <w:numPr>
          <w:ilvl w:val="0"/>
          <w:numId w:val="26"/>
        </w:numPr>
        <w:rPr>
          <w:rFonts w:ascii="Trebuchet MS" w:eastAsia="Times New Roman" w:hAnsi="Trebuchet MS"/>
          <w:sz w:val="22"/>
        </w:rPr>
      </w:pPr>
      <w:r w:rsidRPr="00064BFB">
        <w:rPr>
          <w:rFonts w:ascii="Trebuchet MS" w:hAnsi="Trebuchet MS" w:cs="Arial"/>
          <w:sz w:val="22"/>
        </w:rPr>
        <w:t>De Waal, D. et al. (2011) ‘Pathways to Progress: Transitioning to Country-Led Service Delivery Pathways to Meet Africa’s Water Supply and Sanitation Targets.’ AMCOW Country Status Overviews, Regional Synthesis Report</w:t>
      </w:r>
    </w:p>
    <w:p w14:paraId="57485054" w14:textId="77777777" w:rsidR="009F76EA" w:rsidRDefault="009F76EA" w:rsidP="009F76EA">
      <w:pPr>
        <w:pStyle w:val="BodyText"/>
        <w:numPr>
          <w:ilvl w:val="0"/>
          <w:numId w:val="26"/>
        </w:numPr>
        <w:rPr>
          <w:rFonts w:ascii="Trebuchet MS" w:eastAsia="Times New Roman" w:hAnsi="Trebuchet MS"/>
          <w:sz w:val="22"/>
        </w:rPr>
      </w:pPr>
      <w:r>
        <w:rPr>
          <w:rFonts w:ascii="Trebuchet MS" w:eastAsia="Times New Roman" w:hAnsi="Trebuchet MS"/>
          <w:sz w:val="22"/>
        </w:rPr>
        <w:t>DFID (2010) The Politics of Poverty: Elites, Citizens and States, Findings from ten years of DFID-funded research on Governance and Fragile States 2001-2010, DFID: London</w:t>
      </w:r>
    </w:p>
    <w:p w14:paraId="0C3E9DE1" w14:textId="77777777" w:rsidR="009F76EA" w:rsidRDefault="009F76EA" w:rsidP="009F76EA">
      <w:pPr>
        <w:pStyle w:val="BodyText"/>
        <w:numPr>
          <w:ilvl w:val="0"/>
          <w:numId w:val="26"/>
        </w:numPr>
        <w:rPr>
          <w:rFonts w:ascii="Trebuchet MS" w:eastAsia="Times New Roman" w:hAnsi="Trebuchet MS"/>
          <w:sz w:val="22"/>
        </w:rPr>
      </w:pPr>
      <w:r w:rsidRPr="00064BFB">
        <w:rPr>
          <w:rFonts w:ascii="Trebuchet MS" w:hAnsi="Trebuchet MS" w:cs="Arial"/>
          <w:sz w:val="22"/>
        </w:rPr>
        <w:t>Education for All Global Monitoring Report (2009) Overcoming inequality: why governance matters. Paris: UNESCO</w:t>
      </w:r>
      <w:r>
        <w:rPr>
          <w:rFonts w:ascii="Trebuchet MS" w:eastAsia="Times New Roman" w:hAnsi="Trebuchet MS"/>
          <w:sz w:val="22"/>
        </w:rPr>
        <w:t xml:space="preserve"> </w:t>
      </w:r>
    </w:p>
    <w:p w14:paraId="593B81C6" w14:textId="77777777" w:rsidR="009F76EA" w:rsidRDefault="009F76EA" w:rsidP="009F76EA">
      <w:pPr>
        <w:pStyle w:val="BodyText"/>
        <w:numPr>
          <w:ilvl w:val="0"/>
          <w:numId w:val="26"/>
        </w:numPr>
        <w:rPr>
          <w:rFonts w:ascii="Trebuchet MS" w:eastAsia="Times New Roman" w:hAnsi="Trebuchet MS"/>
          <w:sz w:val="22"/>
        </w:rPr>
      </w:pPr>
      <w:r>
        <w:rPr>
          <w:rFonts w:ascii="Trebuchet MS" w:eastAsia="Times New Roman" w:hAnsi="Trebuchet MS"/>
          <w:sz w:val="22"/>
        </w:rPr>
        <w:t>Engel, J (2011) Ethiopia’s progress in education: A rapid and equitable expansion of access, Development Progress, ODI: London</w:t>
      </w:r>
    </w:p>
    <w:p w14:paraId="5AEE7C3E" w14:textId="77777777" w:rsidR="009F76EA" w:rsidRDefault="009F76EA" w:rsidP="009F76EA">
      <w:pPr>
        <w:pStyle w:val="BodyText"/>
        <w:numPr>
          <w:ilvl w:val="0"/>
          <w:numId w:val="26"/>
        </w:numPr>
        <w:rPr>
          <w:rFonts w:ascii="Trebuchet MS" w:eastAsia="Times New Roman" w:hAnsi="Trebuchet MS"/>
          <w:sz w:val="22"/>
        </w:rPr>
      </w:pPr>
      <w:r w:rsidRPr="00262560">
        <w:rPr>
          <w:rFonts w:ascii="Trebuchet MS" w:eastAsia="Times New Roman" w:hAnsi="Trebuchet MS"/>
          <w:sz w:val="22"/>
        </w:rPr>
        <w:t xml:space="preserve">Gibson, C., </w:t>
      </w:r>
      <w:proofErr w:type="spellStart"/>
      <w:r w:rsidRPr="00262560">
        <w:rPr>
          <w:rFonts w:ascii="Trebuchet MS" w:eastAsia="Times New Roman" w:hAnsi="Trebuchet MS"/>
          <w:sz w:val="22"/>
        </w:rPr>
        <w:t>Andersson</w:t>
      </w:r>
      <w:proofErr w:type="spellEnd"/>
      <w:r w:rsidRPr="00262560">
        <w:rPr>
          <w:rFonts w:ascii="Trebuchet MS" w:eastAsia="Times New Roman" w:hAnsi="Trebuchet MS"/>
          <w:sz w:val="22"/>
        </w:rPr>
        <w:t xml:space="preserve">, K., </w:t>
      </w:r>
      <w:proofErr w:type="spellStart"/>
      <w:r w:rsidRPr="00262560">
        <w:rPr>
          <w:rFonts w:ascii="Trebuchet MS" w:eastAsia="Times New Roman" w:hAnsi="Trebuchet MS"/>
          <w:sz w:val="22"/>
        </w:rPr>
        <w:t>Ostrom</w:t>
      </w:r>
      <w:proofErr w:type="spellEnd"/>
      <w:r w:rsidRPr="00262560">
        <w:rPr>
          <w:rFonts w:ascii="Trebuchet MS" w:eastAsia="Times New Roman" w:hAnsi="Trebuchet MS"/>
          <w:sz w:val="22"/>
        </w:rPr>
        <w:t xml:space="preserve">, E., and </w:t>
      </w:r>
      <w:proofErr w:type="spellStart"/>
      <w:r w:rsidRPr="00262560">
        <w:rPr>
          <w:rFonts w:ascii="Trebuchet MS" w:eastAsia="Times New Roman" w:hAnsi="Trebuchet MS"/>
          <w:sz w:val="22"/>
        </w:rPr>
        <w:t>Shivakumar</w:t>
      </w:r>
      <w:proofErr w:type="spellEnd"/>
      <w:r w:rsidRPr="00262560">
        <w:rPr>
          <w:rFonts w:ascii="Trebuchet MS" w:eastAsia="Times New Roman" w:hAnsi="Trebuchet MS"/>
          <w:sz w:val="22"/>
        </w:rPr>
        <w:t>, S. (2005) The Samaritan’s Dilemma: The Political Economy of Development Aid. Oxford: Oxford University Press</w:t>
      </w:r>
    </w:p>
    <w:p w14:paraId="0A214545" w14:textId="77777777" w:rsidR="009F76EA" w:rsidRDefault="009F76EA" w:rsidP="009F76EA">
      <w:pPr>
        <w:pStyle w:val="BodyText"/>
        <w:numPr>
          <w:ilvl w:val="0"/>
          <w:numId w:val="26"/>
        </w:numPr>
        <w:rPr>
          <w:rFonts w:ascii="Trebuchet MS" w:eastAsia="Times New Roman" w:hAnsi="Trebuchet MS"/>
          <w:sz w:val="22"/>
        </w:rPr>
      </w:pPr>
      <w:proofErr w:type="spellStart"/>
      <w:r>
        <w:rPr>
          <w:rFonts w:ascii="Trebuchet MS" w:eastAsia="Times New Roman" w:hAnsi="Trebuchet MS"/>
          <w:sz w:val="22"/>
        </w:rPr>
        <w:t>Gaventa</w:t>
      </w:r>
      <w:proofErr w:type="spellEnd"/>
      <w:r>
        <w:rPr>
          <w:rFonts w:ascii="Trebuchet MS" w:eastAsia="Times New Roman" w:hAnsi="Trebuchet MS"/>
          <w:sz w:val="22"/>
        </w:rPr>
        <w:t xml:space="preserve">, J (2010) </w:t>
      </w:r>
      <w:proofErr w:type="gramStart"/>
      <w:r>
        <w:rPr>
          <w:rFonts w:ascii="Trebuchet MS" w:eastAsia="Times New Roman" w:hAnsi="Trebuchet MS"/>
          <w:sz w:val="22"/>
        </w:rPr>
        <w:t>So</w:t>
      </w:r>
      <w:proofErr w:type="gramEnd"/>
      <w:r>
        <w:rPr>
          <w:rFonts w:ascii="Trebuchet MS" w:eastAsia="Times New Roman" w:hAnsi="Trebuchet MS"/>
          <w:sz w:val="22"/>
        </w:rPr>
        <w:t xml:space="preserve"> what difference does it make? Mapping the outcomes of citizen engagement, IDS: Brighton</w:t>
      </w:r>
    </w:p>
    <w:p w14:paraId="396B2D60" w14:textId="77777777" w:rsidR="009F76EA" w:rsidRPr="00A80AD9" w:rsidRDefault="009F76EA" w:rsidP="009F76EA">
      <w:pPr>
        <w:pStyle w:val="BodyText"/>
        <w:numPr>
          <w:ilvl w:val="0"/>
          <w:numId w:val="26"/>
        </w:numPr>
        <w:rPr>
          <w:rFonts w:ascii="Trebuchet MS" w:eastAsia="Times New Roman" w:hAnsi="Trebuchet MS"/>
          <w:sz w:val="22"/>
        </w:rPr>
      </w:pPr>
      <w:r w:rsidRPr="00064BFB">
        <w:rPr>
          <w:rFonts w:ascii="Trebuchet MS" w:hAnsi="Trebuchet MS" w:cs="Arial"/>
          <w:sz w:val="22"/>
        </w:rPr>
        <w:t xml:space="preserve">Harris, D., et al. (2012) ‘The Political Economy of the Urban Water Pricing Regime in Freetown, Sierra Leone’, London: Overseas Development Institute </w:t>
      </w:r>
    </w:p>
    <w:p w14:paraId="5FB89663" w14:textId="77777777" w:rsidR="009F76EA" w:rsidRDefault="009F76EA" w:rsidP="009F76EA">
      <w:pPr>
        <w:pStyle w:val="BodyText"/>
        <w:numPr>
          <w:ilvl w:val="0"/>
          <w:numId w:val="26"/>
        </w:numPr>
        <w:rPr>
          <w:rFonts w:ascii="Trebuchet MS" w:eastAsia="Times New Roman" w:hAnsi="Trebuchet MS"/>
          <w:sz w:val="22"/>
        </w:rPr>
      </w:pPr>
      <w:r>
        <w:rPr>
          <w:rFonts w:ascii="Trebuchet MS" w:eastAsia="Times New Roman" w:hAnsi="Trebuchet MS"/>
          <w:sz w:val="22"/>
        </w:rPr>
        <w:t xml:space="preserve">Harris, D, Jones, L, Kooy, M (2011) Analysing the governance and political economy of water and sanitation service delivery, ODI: London </w:t>
      </w:r>
    </w:p>
    <w:p w14:paraId="476E3DFD" w14:textId="77777777" w:rsidR="009F76EA" w:rsidRDefault="009F76EA" w:rsidP="009F76EA">
      <w:pPr>
        <w:pStyle w:val="BodyText"/>
        <w:numPr>
          <w:ilvl w:val="0"/>
          <w:numId w:val="26"/>
        </w:numPr>
        <w:rPr>
          <w:rFonts w:ascii="Trebuchet MS" w:eastAsia="Times New Roman" w:hAnsi="Trebuchet MS"/>
          <w:sz w:val="22"/>
        </w:rPr>
      </w:pPr>
      <w:r w:rsidRPr="00064BFB">
        <w:rPr>
          <w:rFonts w:ascii="Trebuchet MS" w:hAnsi="Trebuchet MS" w:cs="Arial"/>
          <w:sz w:val="22"/>
        </w:rPr>
        <w:t>Hedger, E. et al. (2010) Sector Budget Support in Practice Case Study: Education Sector in Uganda’ London: Overseas Development Institute /</w:t>
      </w:r>
      <w:proofErr w:type="spellStart"/>
      <w:r w:rsidRPr="00064BFB">
        <w:rPr>
          <w:rFonts w:ascii="Trebuchet MS" w:hAnsi="Trebuchet MS" w:cs="Arial"/>
          <w:sz w:val="22"/>
        </w:rPr>
        <w:t>Makoro</w:t>
      </w:r>
      <w:proofErr w:type="spellEnd"/>
      <w:r>
        <w:rPr>
          <w:rFonts w:ascii="Trebuchet MS" w:eastAsia="Times New Roman" w:hAnsi="Trebuchet MS"/>
          <w:sz w:val="22"/>
        </w:rPr>
        <w:t xml:space="preserve"> </w:t>
      </w:r>
    </w:p>
    <w:p w14:paraId="6B4CED92" w14:textId="77777777" w:rsidR="009F76EA" w:rsidRDefault="009F76EA" w:rsidP="009F76EA">
      <w:pPr>
        <w:pStyle w:val="BodyText"/>
        <w:numPr>
          <w:ilvl w:val="0"/>
          <w:numId w:val="26"/>
        </w:numPr>
        <w:rPr>
          <w:rFonts w:ascii="Trebuchet MS" w:eastAsia="Times New Roman" w:hAnsi="Trebuchet MS"/>
          <w:sz w:val="22"/>
        </w:rPr>
      </w:pPr>
      <w:r>
        <w:rPr>
          <w:rFonts w:ascii="Trebuchet MS" w:eastAsia="Times New Roman" w:hAnsi="Trebuchet MS"/>
          <w:sz w:val="22"/>
        </w:rPr>
        <w:t>Joshi, A (2009) Producing social accountability? The impact of service delivery reforms, IDS Bulletin, 38(6) 10-17</w:t>
      </w:r>
    </w:p>
    <w:p w14:paraId="0142F201" w14:textId="77777777" w:rsidR="009F76EA" w:rsidRPr="00A80AD9" w:rsidRDefault="009F76EA" w:rsidP="009F76EA">
      <w:pPr>
        <w:pStyle w:val="BodyText"/>
        <w:numPr>
          <w:ilvl w:val="0"/>
          <w:numId w:val="26"/>
        </w:numPr>
        <w:rPr>
          <w:rFonts w:ascii="Trebuchet MS" w:eastAsia="Times New Roman" w:hAnsi="Trebuchet MS"/>
          <w:sz w:val="22"/>
        </w:rPr>
      </w:pPr>
      <w:proofErr w:type="spellStart"/>
      <w:r w:rsidRPr="00064BFB">
        <w:rPr>
          <w:rFonts w:ascii="Trebuchet MS" w:hAnsi="Trebuchet MS" w:cs="Arial"/>
          <w:sz w:val="22"/>
        </w:rPr>
        <w:lastRenderedPageBreak/>
        <w:t>Kaen</w:t>
      </w:r>
      <w:proofErr w:type="spellEnd"/>
      <w:r w:rsidRPr="00064BFB">
        <w:rPr>
          <w:rFonts w:ascii="Trebuchet MS" w:hAnsi="Trebuchet MS" w:cs="Arial"/>
          <w:sz w:val="22"/>
        </w:rPr>
        <w:t>, K. (2006) ‘Evidence from Systematic Reviews to Inform Decision-Making towards Achieving the Millennium Development Goals for Reducing Maternal and Child Mortality’, Thailand: Alliance for Health Policy and Systems Research</w:t>
      </w:r>
    </w:p>
    <w:p w14:paraId="004ABC80" w14:textId="77777777" w:rsidR="009F76EA" w:rsidRDefault="009F76EA" w:rsidP="009F76EA">
      <w:pPr>
        <w:pStyle w:val="BodyText"/>
        <w:numPr>
          <w:ilvl w:val="0"/>
          <w:numId w:val="26"/>
        </w:numPr>
        <w:rPr>
          <w:rFonts w:ascii="Trebuchet MS" w:eastAsia="Times New Roman" w:hAnsi="Trebuchet MS"/>
          <w:sz w:val="22"/>
        </w:rPr>
      </w:pPr>
      <w:r w:rsidRPr="00BC245D">
        <w:rPr>
          <w:rFonts w:ascii="Trebuchet MS" w:eastAsia="Times New Roman" w:hAnsi="Trebuchet MS"/>
          <w:sz w:val="22"/>
        </w:rPr>
        <w:t>Keefer</w:t>
      </w:r>
      <w:r>
        <w:rPr>
          <w:rFonts w:ascii="Trebuchet MS" w:eastAsia="Times New Roman" w:hAnsi="Trebuchet MS"/>
          <w:sz w:val="22"/>
        </w:rPr>
        <w:t>, P</w:t>
      </w:r>
      <w:r w:rsidRPr="00BC245D">
        <w:rPr>
          <w:rFonts w:ascii="Trebuchet MS" w:eastAsia="Times New Roman" w:hAnsi="Trebuchet MS"/>
          <w:sz w:val="22"/>
        </w:rPr>
        <w:t xml:space="preserve"> and </w:t>
      </w:r>
      <w:proofErr w:type="spellStart"/>
      <w:r w:rsidRPr="00BC245D">
        <w:rPr>
          <w:rFonts w:ascii="Trebuchet MS" w:eastAsia="Times New Roman" w:hAnsi="Trebuchet MS"/>
          <w:sz w:val="22"/>
        </w:rPr>
        <w:t>Khemani</w:t>
      </w:r>
      <w:proofErr w:type="spellEnd"/>
      <w:r>
        <w:rPr>
          <w:rFonts w:ascii="Trebuchet MS" w:eastAsia="Times New Roman" w:hAnsi="Trebuchet MS"/>
          <w:sz w:val="22"/>
        </w:rPr>
        <w:t>, S</w:t>
      </w:r>
      <w:r w:rsidRPr="00BC245D">
        <w:rPr>
          <w:rFonts w:ascii="Trebuchet MS" w:eastAsia="Times New Roman" w:hAnsi="Trebuchet MS"/>
          <w:sz w:val="22"/>
        </w:rPr>
        <w:t xml:space="preserve"> (2005) Democracy, Public Expenditures, and the Poor: Understanding Political Incentives for Providing Public Services, World Bank Res </w:t>
      </w:r>
      <w:proofErr w:type="spellStart"/>
      <w:r w:rsidRPr="00BC245D">
        <w:rPr>
          <w:rFonts w:ascii="Trebuchet MS" w:eastAsia="Times New Roman" w:hAnsi="Trebuchet MS"/>
          <w:sz w:val="22"/>
        </w:rPr>
        <w:t>Obs</w:t>
      </w:r>
      <w:proofErr w:type="spellEnd"/>
      <w:r w:rsidRPr="00BC245D">
        <w:rPr>
          <w:rFonts w:ascii="Trebuchet MS" w:eastAsia="Times New Roman" w:hAnsi="Trebuchet MS"/>
          <w:sz w:val="22"/>
        </w:rPr>
        <w:t>, Spring 2005, 20 (1): 1-27</w:t>
      </w:r>
    </w:p>
    <w:p w14:paraId="4E2E2D74" w14:textId="77777777" w:rsidR="009F76EA" w:rsidRDefault="009F76EA" w:rsidP="009F76EA">
      <w:pPr>
        <w:pStyle w:val="BodyText"/>
        <w:numPr>
          <w:ilvl w:val="0"/>
          <w:numId w:val="26"/>
        </w:numPr>
        <w:rPr>
          <w:rFonts w:ascii="Trebuchet MS" w:eastAsia="Times New Roman" w:hAnsi="Trebuchet MS"/>
          <w:sz w:val="22"/>
        </w:rPr>
      </w:pPr>
      <w:r w:rsidRPr="00BC245D">
        <w:rPr>
          <w:rFonts w:ascii="Trebuchet MS" w:eastAsia="Times New Roman" w:hAnsi="Trebuchet MS"/>
          <w:sz w:val="22"/>
        </w:rPr>
        <w:t xml:space="preserve">McGee, R. and J. </w:t>
      </w:r>
      <w:proofErr w:type="spellStart"/>
      <w:r w:rsidRPr="00BC245D">
        <w:rPr>
          <w:rFonts w:ascii="Trebuchet MS" w:eastAsia="Times New Roman" w:hAnsi="Trebuchet MS"/>
          <w:sz w:val="22"/>
        </w:rPr>
        <w:t>Gaventa</w:t>
      </w:r>
      <w:proofErr w:type="spellEnd"/>
      <w:r w:rsidRPr="00BC245D">
        <w:rPr>
          <w:rFonts w:ascii="Trebuchet MS" w:eastAsia="Times New Roman" w:hAnsi="Trebuchet MS"/>
          <w:sz w:val="22"/>
        </w:rPr>
        <w:t xml:space="preserve"> (2010) Synthesis Report: Review of transparency and accountability initiatives, Transparency and Accountability Initiative </w:t>
      </w:r>
    </w:p>
    <w:p w14:paraId="5C928DE5" w14:textId="77777777" w:rsidR="009F76EA" w:rsidRDefault="009F76EA" w:rsidP="009F76EA">
      <w:pPr>
        <w:pStyle w:val="BodyText"/>
        <w:numPr>
          <w:ilvl w:val="0"/>
          <w:numId w:val="26"/>
        </w:numPr>
        <w:rPr>
          <w:rFonts w:ascii="Trebuchet MS" w:eastAsia="Times New Roman" w:hAnsi="Trebuchet MS"/>
          <w:sz w:val="22"/>
        </w:rPr>
      </w:pPr>
      <w:r w:rsidRPr="00BC245D">
        <w:rPr>
          <w:rFonts w:ascii="Trebuchet MS" w:eastAsia="Times New Roman" w:hAnsi="Trebuchet MS"/>
          <w:sz w:val="22"/>
        </w:rPr>
        <w:t xml:space="preserve">Mcloughlin, </w:t>
      </w:r>
      <w:proofErr w:type="spellStart"/>
      <w:r w:rsidRPr="00BC245D">
        <w:rPr>
          <w:rFonts w:ascii="Trebuchet MS" w:eastAsia="Times New Roman" w:hAnsi="Trebuchet MS"/>
          <w:sz w:val="22"/>
        </w:rPr>
        <w:t>C.,</w:t>
      </w:r>
      <w:r>
        <w:rPr>
          <w:rFonts w:ascii="Trebuchet MS" w:eastAsia="Times New Roman" w:hAnsi="Trebuchet MS"/>
          <w:sz w:val="22"/>
        </w:rPr>
        <w:t>and</w:t>
      </w:r>
      <w:proofErr w:type="spellEnd"/>
      <w:r>
        <w:rPr>
          <w:rFonts w:ascii="Trebuchet MS" w:eastAsia="Times New Roman" w:hAnsi="Trebuchet MS"/>
          <w:sz w:val="22"/>
        </w:rPr>
        <w:t xml:space="preserve"> Batley, R (2011, unpublished) The politics of </w:t>
      </w:r>
      <w:proofErr w:type="spellStart"/>
      <w:r>
        <w:rPr>
          <w:rFonts w:ascii="Trebuchet MS" w:eastAsia="Times New Roman" w:hAnsi="Trebuchet MS"/>
          <w:sz w:val="22"/>
        </w:rPr>
        <w:t>wjat</w:t>
      </w:r>
      <w:proofErr w:type="spellEnd"/>
      <w:r>
        <w:rPr>
          <w:rFonts w:ascii="Trebuchet MS" w:eastAsia="Times New Roman" w:hAnsi="Trebuchet MS"/>
          <w:sz w:val="22"/>
        </w:rPr>
        <w:t xml:space="preserve"> works in service provision: An evidence-based review, A working paper for the Effective States and Inclusive Development Research Programme</w:t>
      </w:r>
    </w:p>
    <w:p w14:paraId="7D5A7AF4" w14:textId="77777777" w:rsidR="009F76EA" w:rsidRDefault="009F76EA" w:rsidP="009F76EA">
      <w:pPr>
        <w:pStyle w:val="BodyText"/>
        <w:numPr>
          <w:ilvl w:val="0"/>
          <w:numId w:val="26"/>
        </w:numPr>
        <w:rPr>
          <w:rFonts w:ascii="Trebuchet MS" w:eastAsia="Times New Roman" w:hAnsi="Trebuchet MS"/>
          <w:sz w:val="22"/>
        </w:rPr>
      </w:pPr>
      <w:r w:rsidRPr="00BC245D">
        <w:rPr>
          <w:rFonts w:ascii="Trebuchet MS" w:eastAsia="Times New Roman" w:hAnsi="Trebuchet MS"/>
          <w:sz w:val="22"/>
        </w:rPr>
        <w:t>OHCHR reports (including OCHCR (2010) Human Rights and the MDGs in Practice: A review of country strategies and reporting; Darrow “The Millennium Development Goals: Milestones or Millstones? Human Rights Priorities for the Post</w:t>
      </w:r>
      <w:r>
        <w:rPr>
          <w:rFonts w:ascii="Trebuchet MS" w:eastAsia="Times New Roman" w:hAnsi="Trebuchet MS"/>
          <w:sz w:val="22"/>
        </w:rPr>
        <w:t>-2015 Agenda” forthcoming, 2012)</w:t>
      </w:r>
    </w:p>
    <w:p w14:paraId="132BF102" w14:textId="77777777" w:rsidR="009F76EA" w:rsidRDefault="009F76EA" w:rsidP="009F76EA">
      <w:pPr>
        <w:pStyle w:val="BodyText"/>
        <w:numPr>
          <w:ilvl w:val="0"/>
          <w:numId w:val="26"/>
        </w:numPr>
        <w:rPr>
          <w:rFonts w:ascii="Trebuchet MS" w:eastAsia="Times New Roman" w:hAnsi="Trebuchet MS"/>
          <w:sz w:val="22"/>
        </w:rPr>
      </w:pPr>
      <w:r w:rsidRPr="00064BFB">
        <w:rPr>
          <w:rFonts w:ascii="Trebuchet MS" w:hAnsi="Trebuchet MS" w:cs="Arial"/>
          <w:sz w:val="22"/>
        </w:rPr>
        <w:t>PRIA (2011) “Democratic Accountability in Local Governance: Experiences from South Asia” PRIA Global Partnership</w:t>
      </w:r>
      <w:r w:rsidRPr="00BC245D">
        <w:rPr>
          <w:rFonts w:ascii="Trebuchet MS" w:eastAsia="Times New Roman" w:hAnsi="Trebuchet MS"/>
          <w:sz w:val="22"/>
        </w:rPr>
        <w:t xml:space="preserve"> </w:t>
      </w:r>
    </w:p>
    <w:p w14:paraId="17C991B3" w14:textId="77777777" w:rsidR="009F76EA" w:rsidRDefault="009F76EA" w:rsidP="009F76EA">
      <w:pPr>
        <w:pStyle w:val="BodyText"/>
        <w:numPr>
          <w:ilvl w:val="0"/>
          <w:numId w:val="26"/>
        </w:numPr>
        <w:rPr>
          <w:rFonts w:ascii="Trebuchet MS" w:eastAsia="Times New Roman" w:hAnsi="Trebuchet MS"/>
          <w:sz w:val="22"/>
        </w:rPr>
      </w:pPr>
      <w:r w:rsidRPr="00BC245D">
        <w:rPr>
          <w:rFonts w:ascii="Trebuchet MS" w:eastAsia="Times New Roman" w:hAnsi="Trebuchet MS"/>
          <w:sz w:val="22"/>
        </w:rPr>
        <w:t>Pritchett</w:t>
      </w:r>
      <w:r>
        <w:rPr>
          <w:rFonts w:ascii="Trebuchet MS" w:eastAsia="Times New Roman" w:hAnsi="Trebuchet MS"/>
          <w:sz w:val="22"/>
        </w:rPr>
        <w:t>, L</w:t>
      </w:r>
      <w:r w:rsidRPr="00BC245D">
        <w:rPr>
          <w:rFonts w:ascii="Trebuchet MS" w:eastAsia="Times New Roman" w:hAnsi="Trebuchet MS"/>
          <w:sz w:val="22"/>
        </w:rPr>
        <w:t xml:space="preserve"> and </w:t>
      </w:r>
      <w:proofErr w:type="spellStart"/>
      <w:r w:rsidRPr="00BC245D">
        <w:rPr>
          <w:rFonts w:ascii="Trebuchet MS" w:eastAsia="Times New Roman" w:hAnsi="Trebuchet MS"/>
          <w:sz w:val="22"/>
        </w:rPr>
        <w:t>Woolcock</w:t>
      </w:r>
      <w:proofErr w:type="spellEnd"/>
      <w:r>
        <w:rPr>
          <w:rFonts w:ascii="Trebuchet MS" w:eastAsia="Times New Roman" w:hAnsi="Trebuchet MS"/>
          <w:sz w:val="22"/>
        </w:rPr>
        <w:t>, M</w:t>
      </w:r>
      <w:r w:rsidRPr="00BC245D">
        <w:rPr>
          <w:rFonts w:ascii="Trebuchet MS" w:eastAsia="Times New Roman" w:hAnsi="Trebuchet MS"/>
          <w:sz w:val="22"/>
        </w:rPr>
        <w:t xml:space="preserve"> </w:t>
      </w:r>
      <w:r>
        <w:rPr>
          <w:rFonts w:ascii="Trebuchet MS" w:eastAsia="Times New Roman" w:hAnsi="Trebuchet MS"/>
          <w:sz w:val="22"/>
        </w:rPr>
        <w:t>(</w:t>
      </w:r>
      <w:r w:rsidRPr="00BC245D">
        <w:rPr>
          <w:rFonts w:ascii="Trebuchet MS" w:eastAsia="Times New Roman" w:hAnsi="Trebuchet MS"/>
          <w:sz w:val="22"/>
        </w:rPr>
        <w:t>2004</w:t>
      </w:r>
      <w:r>
        <w:rPr>
          <w:rFonts w:ascii="Trebuchet MS" w:eastAsia="Times New Roman" w:hAnsi="Trebuchet MS"/>
          <w:sz w:val="22"/>
        </w:rPr>
        <w:t>) When the Solution is the Problem: Arraying the Disarray in Development, World Development, 32(2), 191-212</w:t>
      </w:r>
    </w:p>
    <w:p w14:paraId="2AE74DCE" w14:textId="77777777" w:rsidR="009F76EA" w:rsidRPr="00A80AD9" w:rsidRDefault="009F76EA" w:rsidP="009F76EA">
      <w:pPr>
        <w:pStyle w:val="BodyText"/>
        <w:numPr>
          <w:ilvl w:val="0"/>
          <w:numId w:val="26"/>
        </w:numPr>
        <w:rPr>
          <w:rStyle w:val="Hyperlink"/>
          <w:rFonts w:ascii="Trebuchet MS" w:eastAsia="Times New Roman" w:hAnsi="Trebuchet MS"/>
          <w:color w:val="auto"/>
          <w:sz w:val="22"/>
          <w:u w:val="none"/>
        </w:rPr>
      </w:pPr>
      <w:proofErr w:type="spellStart"/>
      <w:r w:rsidRPr="00064BFB">
        <w:rPr>
          <w:rFonts w:ascii="Trebuchet MS" w:hAnsi="Trebuchet MS" w:cs="Arial"/>
          <w:sz w:val="22"/>
        </w:rPr>
        <w:t>Rampa</w:t>
      </w:r>
      <w:proofErr w:type="spellEnd"/>
      <w:r w:rsidRPr="00064BFB">
        <w:rPr>
          <w:rFonts w:ascii="Trebuchet MS" w:hAnsi="Trebuchet MS" w:cs="Arial"/>
          <w:sz w:val="22"/>
        </w:rPr>
        <w:t xml:space="preserve">, F. and </w:t>
      </w:r>
      <w:proofErr w:type="spellStart"/>
      <w:r w:rsidRPr="00064BFB">
        <w:rPr>
          <w:rFonts w:ascii="Trebuchet MS" w:hAnsi="Trebuchet MS" w:cs="Arial"/>
          <w:sz w:val="22"/>
        </w:rPr>
        <w:t>Piñol</w:t>
      </w:r>
      <w:proofErr w:type="spellEnd"/>
      <w:r w:rsidRPr="00064BFB">
        <w:rPr>
          <w:rFonts w:ascii="Trebuchet MS" w:hAnsi="Trebuchet MS" w:cs="Arial"/>
          <w:sz w:val="22"/>
        </w:rPr>
        <w:t xml:space="preserve"> </w:t>
      </w:r>
      <w:proofErr w:type="spellStart"/>
      <w:r w:rsidRPr="00064BFB">
        <w:rPr>
          <w:rFonts w:ascii="Trebuchet MS" w:hAnsi="Trebuchet MS" w:cs="Arial"/>
          <w:sz w:val="22"/>
        </w:rPr>
        <w:t>Puig</w:t>
      </w:r>
      <w:proofErr w:type="spellEnd"/>
      <w:r w:rsidRPr="00064BFB">
        <w:rPr>
          <w:rFonts w:ascii="Trebuchet MS" w:hAnsi="Trebuchet MS" w:cs="Arial"/>
          <w:sz w:val="22"/>
        </w:rPr>
        <w:t xml:space="preserve">, Gemma (2011) Analysing governance in the water sector in Kenya, Discussion Paper No. 124, ECDPM </w:t>
      </w:r>
      <w:hyperlink r:id="rId13" w:history="1">
        <w:r w:rsidRPr="00064BFB">
          <w:rPr>
            <w:rStyle w:val="Hyperlink"/>
            <w:rFonts w:ascii="Trebuchet MS" w:hAnsi="Trebuchet MS" w:cs="Arial"/>
            <w:sz w:val="22"/>
          </w:rPr>
          <w:t>www.ecdpm.org/dp124</w:t>
        </w:r>
      </w:hyperlink>
    </w:p>
    <w:p w14:paraId="06A0A025" w14:textId="77777777" w:rsidR="009F76EA" w:rsidRDefault="009F76EA" w:rsidP="009F76EA">
      <w:pPr>
        <w:pStyle w:val="BodyText"/>
        <w:numPr>
          <w:ilvl w:val="0"/>
          <w:numId w:val="26"/>
        </w:numPr>
        <w:rPr>
          <w:rFonts w:ascii="Trebuchet MS" w:eastAsia="Times New Roman" w:hAnsi="Trebuchet MS"/>
          <w:sz w:val="22"/>
        </w:rPr>
      </w:pPr>
      <w:r>
        <w:rPr>
          <w:rFonts w:ascii="Trebuchet MS" w:eastAsia="Times New Roman" w:hAnsi="Trebuchet MS"/>
          <w:sz w:val="22"/>
        </w:rPr>
        <w:t>Rose, R, Samuels, F (2011) Rwanda’s progress in health: Leadership, performance, insurance, ODI Development Progress, ODI: London</w:t>
      </w:r>
    </w:p>
    <w:p w14:paraId="5B2C69C8" w14:textId="77777777" w:rsidR="009F76EA" w:rsidRDefault="009F76EA" w:rsidP="009F76EA">
      <w:pPr>
        <w:pStyle w:val="ListParagraph"/>
        <w:numPr>
          <w:ilvl w:val="0"/>
          <w:numId w:val="26"/>
        </w:numPr>
        <w:spacing w:after="165"/>
        <w:contextualSpacing w:val="0"/>
        <w:rPr>
          <w:rFonts w:ascii="Trebuchet MS" w:hAnsi="Trebuchet MS" w:cs="Arial"/>
          <w:sz w:val="22"/>
        </w:rPr>
      </w:pPr>
      <w:r w:rsidRPr="00064BFB">
        <w:rPr>
          <w:rFonts w:ascii="Trebuchet MS" w:eastAsia="Times New Roman" w:hAnsi="Trebuchet MS" w:cs="Arial"/>
          <w:bCs/>
          <w:iCs/>
          <w:sz w:val="22"/>
        </w:rPr>
        <w:t>Rose, P and Martin Greeley (2006) ‘</w:t>
      </w:r>
      <w:r w:rsidRPr="00064BFB">
        <w:rPr>
          <w:rFonts w:ascii="Trebuchet MS" w:eastAsia="Times New Roman" w:hAnsi="Trebuchet MS" w:cs="Arial"/>
          <w:bCs/>
          <w:iCs/>
          <w:sz w:val="22"/>
          <w:lang w:val="x-none"/>
        </w:rPr>
        <w:t>Education in Fragile States:</w:t>
      </w:r>
      <w:r w:rsidRPr="00064BFB">
        <w:rPr>
          <w:rFonts w:ascii="Trebuchet MS" w:eastAsia="Times New Roman" w:hAnsi="Trebuchet MS" w:cs="Arial"/>
          <w:bCs/>
          <w:iCs/>
          <w:sz w:val="22"/>
        </w:rPr>
        <w:t xml:space="preserve"> </w:t>
      </w:r>
      <w:r w:rsidRPr="00064BFB">
        <w:rPr>
          <w:rFonts w:ascii="Trebuchet MS" w:eastAsia="Times New Roman" w:hAnsi="Trebuchet MS" w:cs="Arial"/>
          <w:bCs/>
          <w:iCs/>
          <w:sz w:val="22"/>
          <w:lang w:val="x-none"/>
        </w:rPr>
        <w:t>Capturing Lessons and</w:t>
      </w:r>
      <w:r w:rsidRPr="00064BFB">
        <w:rPr>
          <w:rFonts w:ascii="Trebuchet MS" w:eastAsia="Times New Roman" w:hAnsi="Trebuchet MS" w:cs="Arial"/>
          <w:bCs/>
          <w:iCs/>
          <w:sz w:val="22"/>
        </w:rPr>
        <w:t xml:space="preserve"> </w:t>
      </w:r>
      <w:r w:rsidRPr="00064BFB">
        <w:rPr>
          <w:rFonts w:ascii="Trebuchet MS" w:eastAsia="Times New Roman" w:hAnsi="Trebuchet MS" w:cs="Arial"/>
          <w:bCs/>
          <w:iCs/>
          <w:sz w:val="22"/>
          <w:lang w:val="x-none"/>
        </w:rPr>
        <w:t>Identifying Good Practice</w:t>
      </w:r>
      <w:r w:rsidRPr="00064BFB">
        <w:rPr>
          <w:rFonts w:ascii="Trebuchet MS" w:eastAsia="Times New Roman" w:hAnsi="Trebuchet MS" w:cs="Arial"/>
          <w:bCs/>
          <w:iCs/>
          <w:sz w:val="22"/>
        </w:rPr>
        <w:t xml:space="preserve">’ University of Sussex /DAC Fragile States Group Service Delivery </w:t>
      </w:r>
      <w:proofErr w:type="spellStart"/>
      <w:r w:rsidRPr="00064BFB">
        <w:rPr>
          <w:rFonts w:ascii="Trebuchet MS" w:eastAsia="Times New Roman" w:hAnsi="Trebuchet MS" w:cs="Arial"/>
          <w:bCs/>
          <w:iCs/>
          <w:sz w:val="22"/>
        </w:rPr>
        <w:t>Workstream</w:t>
      </w:r>
      <w:proofErr w:type="spellEnd"/>
      <w:r w:rsidRPr="00064BFB">
        <w:rPr>
          <w:rFonts w:ascii="Trebuchet MS" w:hAnsi="Trebuchet MS" w:cs="Arial"/>
          <w:sz w:val="22"/>
        </w:rPr>
        <w:t xml:space="preserve"> </w:t>
      </w:r>
    </w:p>
    <w:p w14:paraId="51E2FC4A" w14:textId="77777777" w:rsidR="009F76EA" w:rsidRPr="00064BFB" w:rsidRDefault="009F76EA" w:rsidP="009F76EA">
      <w:pPr>
        <w:pStyle w:val="ListParagraph"/>
        <w:numPr>
          <w:ilvl w:val="0"/>
          <w:numId w:val="26"/>
        </w:numPr>
        <w:spacing w:after="165"/>
        <w:contextualSpacing w:val="0"/>
        <w:rPr>
          <w:rFonts w:ascii="Trebuchet MS" w:hAnsi="Trebuchet MS" w:cs="Arial"/>
          <w:sz w:val="22"/>
        </w:rPr>
      </w:pPr>
      <w:r w:rsidRPr="00064BFB">
        <w:rPr>
          <w:rFonts w:ascii="Trebuchet MS" w:hAnsi="Trebuchet MS" w:cs="Arial"/>
          <w:sz w:val="22"/>
        </w:rPr>
        <w:t xml:space="preserve">Steer, L. et al. (2011) </w:t>
      </w:r>
      <w:r w:rsidRPr="00064BFB">
        <w:rPr>
          <w:rFonts w:ascii="Trebuchet MS" w:hAnsi="Trebuchet MS" w:cs="Arial"/>
          <w:i/>
          <w:sz w:val="22"/>
        </w:rPr>
        <w:t>‘</w:t>
      </w:r>
      <w:r w:rsidRPr="00064BFB">
        <w:rPr>
          <w:rFonts w:ascii="Trebuchet MS" w:hAnsi="Trebuchet MS" w:cs="Arial"/>
          <w:iCs/>
          <w:sz w:val="22"/>
        </w:rPr>
        <w:t>Mapping progress: evidence for a new development outlook’</w:t>
      </w:r>
      <w:r w:rsidRPr="00064BFB">
        <w:rPr>
          <w:rFonts w:ascii="Trebuchet MS" w:hAnsi="Trebuchet MS" w:cs="Arial"/>
          <w:sz w:val="22"/>
        </w:rPr>
        <w:t>, London: Overseas Development Institute.</w:t>
      </w:r>
    </w:p>
    <w:p w14:paraId="0BF58C89" w14:textId="77777777" w:rsidR="009F76EA" w:rsidRPr="00A80AD9" w:rsidRDefault="009F76EA" w:rsidP="009F76EA">
      <w:pPr>
        <w:pStyle w:val="BodyText"/>
        <w:numPr>
          <w:ilvl w:val="0"/>
          <w:numId w:val="26"/>
        </w:numPr>
        <w:rPr>
          <w:rFonts w:ascii="Trebuchet MS" w:eastAsia="Times New Roman" w:hAnsi="Trebuchet MS"/>
          <w:sz w:val="22"/>
        </w:rPr>
      </w:pPr>
      <w:r w:rsidRPr="00064BFB">
        <w:rPr>
          <w:rFonts w:ascii="Trebuchet MS" w:hAnsi="Trebuchet MS" w:cs="Arial"/>
          <w:sz w:val="22"/>
        </w:rPr>
        <w:t xml:space="preserve">Sumner, A (2010) </w:t>
      </w:r>
      <w:proofErr w:type="gramStart"/>
      <w:r w:rsidRPr="00064BFB">
        <w:rPr>
          <w:rFonts w:ascii="Trebuchet MS" w:hAnsi="Trebuchet MS" w:cs="Arial"/>
          <w:sz w:val="22"/>
        </w:rPr>
        <w:t>What</w:t>
      </w:r>
      <w:proofErr w:type="gramEnd"/>
      <w:r w:rsidRPr="00064BFB">
        <w:rPr>
          <w:rFonts w:ascii="Trebuchet MS" w:hAnsi="Trebuchet MS" w:cs="Arial"/>
          <w:sz w:val="22"/>
        </w:rPr>
        <w:t xml:space="preserve"> do Randomized Evaluations tell us about MDG-re</w:t>
      </w:r>
      <w:r>
        <w:rPr>
          <w:rFonts w:ascii="Trebuchet MS" w:hAnsi="Trebuchet MS" w:cs="Arial"/>
          <w:sz w:val="22"/>
        </w:rPr>
        <w:t>l</w:t>
      </w:r>
      <w:r w:rsidRPr="00064BFB">
        <w:rPr>
          <w:rFonts w:ascii="Trebuchet MS" w:hAnsi="Trebuchet MS" w:cs="Arial"/>
          <w:sz w:val="22"/>
        </w:rPr>
        <w:t>evant Policy Interventions? A Review of J-Pal Evaluations of Governance and Social Development Interventions (DRAFT)</w:t>
      </w:r>
    </w:p>
    <w:p w14:paraId="661D1B97" w14:textId="77777777" w:rsidR="009F76EA" w:rsidRDefault="009F76EA" w:rsidP="009F76EA">
      <w:pPr>
        <w:pStyle w:val="BodyText"/>
        <w:numPr>
          <w:ilvl w:val="0"/>
          <w:numId w:val="26"/>
        </w:numPr>
        <w:rPr>
          <w:rFonts w:ascii="Trebuchet MS" w:eastAsia="Times New Roman" w:hAnsi="Trebuchet MS"/>
          <w:sz w:val="22"/>
        </w:rPr>
      </w:pPr>
      <w:r w:rsidRPr="00BC245D">
        <w:rPr>
          <w:rFonts w:ascii="Trebuchet MS" w:eastAsia="Times New Roman" w:hAnsi="Trebuchet MS"/>
          <w:sz w:val="22"/>
        </w:rPr>
        <w:t xml:space="preserve">UNDP </w:t>
      </w:r>
      <w:r>
        <w:rPr>
          <w:rFonts w:ascii="Trebuchet MS" w:eastAsia="Times New Roman" w:hAnsi="Trebuchet MS"/>
          <w:sz w:val="22"/>
        </w:rPr>
        <w:t xml:space="preserve">reports </w:t>
      </w:r>
      <w:r w:rsidRPr="00BC245D">
        <w:rPr>
          <w:rFonts w:ascii="Trebuchet MS" w:eastAsia="Times New Roman" w:hAnsi="Trebuchet MS"/>
          <w:sz w:val="22"/>
        </w:rPr>
        <w:t>including UNDP (2010) Unlocking progress: MDG acceleration on the road to 2015: Lessons from the MDG acceleration framework pilot countries; UNDP (2010) What will it take to achieve the Millennium Development Goals? An International Assessment</w:t>
      </w:r>
      <w:r>
        <w:rPr>
          <w:rFonts w:ascii="Trebuchet MS" w:eastAsia="Times New Roman" w:hAnsi="Trebuchet MS"/>
          <w:sz w:val="22"/>
        </w:rPr>
        <w:t xml:space="preserve">, </w:t>
      </w:r>
      <w:r w:rsidRPr="00064BFB">
        <w:rPr>
          <w:rFonts w:ascii="Trebuchet MS" w:hAnsi="Trebuchet MS" w:cs="Arial"/>
          <w:sz w:val="22"/>
        </w:rPr>
        <w:t>UNDP (2011) ‘Towards Human Resilience: Sustaining MDG Progress in an Age of Economic Uncertainty’. New York: UNDP</w:t>
      </w:r>
      <w:r w:rsidRPr="00041FEB">
        <w:rPr>
          <w:rFonts w:ascii="Trebuchet MS" w:eastAsia="Times New Roman" w:hAnsi="Trebuchet MS"/>
          <w:sz w:val="22"/>
        </w:rPr>
        <w:t xml:space="preserve"> </w:t>
      </w:r>
    </w:p>
    <w:p w14:paraId="05B85610" w14:textId="77777777" w:rsidR="009F76EA" w:rsidRDefault="009F76EA" w:rsidP="009F76EA">
      <w:pPr>
        <w:pStyle w:val="BodyText"/>
        <w:numPr>
          <w:ilvl w:val="0"/>
          <w:numId w:val="26"/>
        </w:numPr>
        <w:rPr>
          <w:rFonts w:ascii="Trebuchet MS" w:eastAsia="Times New Roman" w:hAnsi="Trebuchet MS"/>
          <w:sz w:val="22"/>
        </w:rPr>
      </w:pPr>
      <w:proofErr w:type="spellStart"/>
      <w:r>
        <w:rPr>
          <w:rFonts w:ascii="Trebuchet MS" w:eastAsia="Times New Roman" w:hAnsi="Trebuchet MS"/>
          <w:sz w:val="22"/>
        </w:rPr>
        <w:t>Unsworth</w:t>
      </w:r>
      <w:proofErr w:type="spellEnd"/>
      <w:r>
        <w:rPr>
          <w:rFonts w:ascii="Trebuchet MS" w:eastAsia="Times New Roman" w:hAnsi="Trebuchet MS"/>
          <w:sz w:val="22"/>
        </w:rPr>
        <w:t xml:space="preserve">, S (2010) Mobilising for better public services, in Upside down view of governance, Centre for the Future State, IDS: Brighton </w:t>
      </w:r>
    </w:p>
    <w:p w14:paraId="0BCA4E00" w14:textId="77777777" w:rsidR="009F76EA" w:rsidRDefault="009F76EA" w:rsidP="009F76EA">
      <w:pPr>
        <w:pStyle w:val="BodyText"/>
        <w:numPr>
          <w:ilvl w:val="0"/>
          <w:numId w:val="26"/>
        </w:numPr>
        <w:rPr>
          <w:rFonts w:ascii="Trebuchet MS" w:eastAsia="Times New Roman" w:hAnsi="Trebuchet MS"/>
          <w:sz w:val="22"/>
        </w:rPr>
      </w:pPr>
      <w:r w:rsidRPr="00BC245D">
        <w:rPr>
          <w:rFonts w:ascii="Trebuchet MS" w:eastAsia="Times New Roman" w:hAnsi="Trebuchet MS"/>
          <w:sz w:val="22"/>
        </w:rPr>
        <w:t>World Bank (2004) World Development Report – Making Services Work for the Poor</w:t>
      </w:r>
    </w:p>
    <w:p w14:paraId="6B1F1397" w14:textId="77777777" w:rsidR="009F76EA" w:rsidRPr="00A80AD9" w:rsidRDefault="009F76EA" w:rsidP="009F76EA">
      <w:pPr>
        <w:pStyle w:val="BodyText"/>
        <w:numPr>
          <w:ilvl w:val="0"/>
          <w:numId w:val="26"/>
        </w:numPr>
        <w:rPr>
          <w:rFonts w:asciiTheme="majorHAnsi" w:hAnsiTheme="majorHAnsi"/>
          <w:sz w:val="22"/>
        </w:rPr>
      </w:pPr>
      <w:r w:rsidRPr="001C4654">
        <w:rPr>
          <w:rFonts w:ascii="Trebuchet MS" w:eastAsia="Times New Roman" w:hAnsi="Trebuchet MS"/>
          <w:sz w:val="22"/>
        </w:rPr>
        <w:t>Wild, L. and Foresti, M (2011) Politics into Practice: A dialogue on governance strategies and action in international development. London: Overseas Development Institute</w:t>
      </w:r>
    </w:p>
    <w:p w14:paraId="223F6D89" w14:textId="77777777" w:rsidR="009F76EA" w:rsidRPr="00064BFB" w:rsidRDefault="009F76EA" w:rsidP="009F76EA">
      <w:pPr>
        <w:pStyle w:val="BodyText"/>
        <w:rPr>
          <w:rFonts w:ascii="Trebuchet MS" w:hAnsi="Trebuchet MS"/>
          <w:sz w:val="22"/>
        </w:rPr>
      </w:pPr>
      <w:bookmarkStart w:id="2" w:name="_GoBack"/>
      <w:bookmarkEnd w:id="2"/>
    </w:p>
    <w:sectPr w:rsidR="009F76EA" w:rsidRPr="00064BFB" w:rsidSect="001D7235">
      <w:headerReference w:type="even" r:id="rId14"/>
      <w:headerReference w:type="default" r:id="rId15"/>
      <w:footerReference w:type="even" r:id="rId16"/>
      <w:footerReference w:type="default" r:id="rId17"/>
      <w:type w:val="oddPage"/>
      <w:pgSz w:w="11907" w:h="16839" w:code="9"/>
      <w:pgMar w:top="1701" w:right="1134" w:bottom="1134" w:left="1134" w:header="539" w:footer="34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68468C" w14:textId="77777777" w:rsidR="003F13EA" w:rsidRDefault="003F13EA" w:rsidP="00664562">
      <w:r>
        <w:separator/>
      </w:r>
    </w:p>
  </w:endnote>
  <w:endnote w:type="continuationSeparator" w:id="0">
    <w:p w14:paraId="2026D05D" w14:textId="77777777" w:rsidR="003F13EA" w:rsidRDefault="003F13EA" w:rsidP="006645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altName w:val="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F191D8" w14:textId="7901B67C" w:rsidR="00041FEB" w:rsidRDefault="00041FEB" w:rsidP="00EE4860">
    <w:pPr>
      <w:pStyle w:val="Footer"/>
    </w:pPr>
    <w:r>
      <w:rPr>
        <w:noProof/>
        <w:lang w:eastAsia="en-GB"/>
      </w:rPr>
      <mc:AlternateContent>
        <mc:Choice Requires="wps">
          <w:drawing>
            <wp:anchor distT="4294967294" distB="4294967294" distL="114300" distR="114300" simplePos="0" relativeHeight="251678720" behindDoc="0" locked="0" layoutInCell="1" allowOverlap="1" wp14:anchorId="68F191DC" wp14:editId="4FB54AC1">
              <wp:simplePos x="0" y="0"/>
              <wp:positionH relativeFrom="page">
                <wp:align>center</wp:align>
              </wp:positionH>
              <wp:positionV relativeFrom="page">
                <wp:posOffset>10297159</wp:posOffset>
              </wp:positionV>
              <wp:extent cx="178435" cy="0"/>
              <wp:effectExtent l="0" t="0" r="12065" b="1905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8435" cy="0"/>
                      </a:xfrm>
                      <a:prstGeom prst="line">
                        <a:avLst/>
                      </a:prstGeom>
                      <a:ln w="127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15" o:spid="_x0000_s1026" style="position:absolute;z-index:251678720;visibility:visible;mso-wrap-style:square;mso-width-percent:0;mso-height-percent:0;mso-wrap-distance-left:9pt;mso-wrap-distance-top:-6e-5mm;mso-wrap-distance-right:9pt;mso-wrap-distance-bottom:-6e-5mm;mso-position-horizontal:center;mso-position-horizontal-relative:page;mso-position-vertical:absolute;mso-position-vertical-relative:page;mso-width-percent:0;mso-height-percent:0;mso-width-relative:margin;mso-height-relative:page" from="0,810.8pt" to="14.05pt,8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" strokecolor="black [3213]" strokeweight="1pt">
              <v:stroke dashstyle="1 1"/>
              <o:lock v:ext="edit" shapetype="f"/>
              <w10:wrap anchorx="page" anchory="page"/>
            </v:line>
          </w:pict>
        </mc:Fallback>
      </mc:AlternateContent>
    </w:r>
    <w:r>
      <w:fldChar w:fldCharType="begin"/>
    </w:r>
    <w:r>
      <w:instrText xml:space="preserve"> PAGE </w:instrText>
    </w:r>
    <w:r>
      <w:fldChar w:fldCharType="separate"/>
    </w:r>
    <w:r w:rsidR="009F76EA">
      <w:rPr>
        <w:noProof/>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F191D9" w14:textId="65BAA147" w:rsidR="00041FEB" w:rsidRDefault="00041FEB">
    <w:pPr>
      <w:pStyle w:val="Footer"/>
    </w:pPr>
    <w:r>
      <w:rPr>
        <w:noProof/>
        <w:lang w:eastAsia="en-GB"/>
      </w:rPr>
      <mc:AlternateContent>
        <mc:Choice Requires="wps">
          <w:drawing>
            <wp:anchor distT="4294967294" distB="4294967294" distL="114300" distR="114300" simplePos="0" relativeHeight="251676672" behindDoc="0" locked="0" layoutInCell="1" allowOverlap="1" wp14:anchorId="68F191DD" wp14:editId="58A24EEC">
              <wp:simplePos x="0" y="0"/>
              <wp:positionH relativeFrom="page">
                <wp:align>center</wp:align>
              </wp:positionH>
              <wp:positionV relativeFrom="page">
                <wp:posOffset>10297159</wp:posOffset>
              </wp:positionV>
              <wp:extent cx="178435" cy="0"/>
              <wp:effectExtent l="0" t="0" r="12065" b="190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8435" cy="0"/>
                      </a:xfrm>
                      <a:prstGeom prst="line">
                        <a:avLst/>
                      </a:prstGeom>
                      <a:ln w="127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14" o:spid="_x0000_s1026" style="position:absolute;z-index:251676672;visibility:visible;mso-wrap-style:square;mso-width-percent:0;mso-height-percent:0;mso-wrap-distance-left:9pt;mso-wrap-distance-top:-6e-5mm;mso-wrap-distance-right:9pt;mso-wrap-distance-bottom:-6e-5mm;mso-position-horizontal:center;mso-position-horizontal-relative:page;mso-position-vertical:absolute;mso-position-vertical-relative:page;mso-width-percent:0;mso-height-percent:0;mso-width-relative:margin;mso-height-relative:page" from="0,810.8pt" to="14.05pt,8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" strokecolor="black [3213]" strokeweight="1pt">
              <v:stroke dashstyle="1 1"/>
              <o:lock v:ext="edit" shapetype="f"/>
              <w10:wrap anchorx="page" anchory="page"/>
            </v:line>
          </w:pict>
        </mc:Fallback>
      </mc:AlternateContent>
    </w:r>
    <w:r>
      <w:fldChar w:fldCharType="begin"/>
    </w:r>
    <w:r>
      <w:instrText xml:space="preserve"> PAGE </w:instrText>
    </w:r>
    <w:r>
      <w:fldChar w:fldCharType="separate"/>
    </w:r>
    <w:r w:rsidR="009F76E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tbl>
      <w:tblPr>
        <w:tblStyle w:val="Blank"/>
        <w:tblW w:w="10773" w:type="dxa"/>
        <w:tblBorders>
          <w:top w:val="dotted" w:sz="8" w:space="0" w:color="auto"/>
        </w:tblBorders>
        <w:tblLook w:val="04A0" w:firstRow="1" w:lastRow="0" w:firstColumn="1" w:lastColumn="0" w:noHBand="0" w:noVBand="1"/>
      </w:tblPr>
      <w:tblGrid>
        <w:gridCol w:w="10773"/>
      </w:tblGrid>
      <w:tr w:rsidR="003F13EA" w14:paraId="54309581" w14:textId="77777777" w:rsidTr="0073462B">
        <w:trPr>
          <w:trHeight w:hRule="exact" w:val="227"/>
        </w:trPr>
        <w:tc>
          <w:tcPr>
            <w:tcW w:w="9855" w:type="dxa"/>
          </w:tcPr>
          <w:p w14:paraId="25FC1EA6" w14:textId="77777777" w:rsidR="003F13EA" w:rsidRDefault="003F13EA" w:rsidP="0073462B">
            <w:pPr>
              <w:pStyle w:val="Footer"/>
            </w:pPr>
          </w:p>
        </w:tc>
      </w:tr>
    </w:tbl>
    <w:p w14:paraId="66E44F7A" w14:textId="77777777" w:rsidR="003F13EA" w:rsidRPr="0073462B" w:rsidRDefault="003F13EA" w:rsidP="0073462B">
      <w:pPr>
        <w:pStyle w:val="Footer"/>
        <w:rPr>
          <w:sz w:val="2"/>
          <w:szCs w:val="2"/>
        </w:rPr>
      </w:pPr>
    </w:p>
  </w:footnote>
  <w:footnote w:type="continuationSeparator" w:id="0">
    <w:p w14:paraId="5E67C787" w14:textId="77777777" w:rsidR="003F13EA" w:rsidRDefault="003F13EA" w:rsidP="00664562">
      <w:r>
        <w:continuationSeparator/>
      </w:r>
    </w:p>
  </w:footnote>
  <w:footnote w:id="1">
    <w:p w14:paraId="5AD31E01" w14:textId="77777777" w:rsidR="009F76EA" w:rsidRDefault="009F76EA" w:rsidP="009F76EA">
      <w:pPr>
        <w:pStyle w:val="FootnoteText"/>
      </w:pPr>
      <w:r>
        <w:rPr>
          <w:rStyle w:val="FootnoteReference"/>
        </w:rPr>
        <w:footnoteRef/>
      </w:r>
      <w:r>
        <w:t xml:space="preserve"> </w:t>
      </w:r>
      <w:r w:rsidRPr="00852D08">
        <w:t xml:space="preserve">This section will draw on recent work by Richard Batley and Claire </w:t>
      </w:r>
      <w:proofErr w:type="spellStart"/>
      <w:r w:rsidRPr="00852D08">
        <w:t>McLoughlin</w:t>
      </w:r>
      <w:proofErr w:type="spellEnd"/>
      <w:r w:rsidRPr="00852D08">
        <w:t xml:space="preserve"> at the University of Birmingham (for example – Batley and Mcloughlin 2010)</w:t>
      </w:r>
      <w:r>
        <w:t>, among others</w:t>
      </w:r>
      <w:r w:rsidRPr="00852D08">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F191D6" w14:textId="6A873D1B" w:rsidR="00041FEB" w:rsidRDefault="00041FEB" w:rsidP="006842C5">
    <w:pPr>
      <w:pStyle w:val="HeaderEven"/>
    </w:pPr>
    <w:r>
      <w:rPr>
        <w:noProof/>
        <w:lang w:eastAsia="en-GB"/>
      </w:rPr>
      <mc:AlternateContent>
        <mc:Choice Requires="wps">
          <w:drawing>
            <wp:anchor distT="4294967294" distB="4294967294" distL="114300" distR="114300" simplePos="0" relativeHeight="251682816" behindDoc="0" locked="0" layoutInCell="1" allowOverlap="1" wp14:anchorId="68F191DA" wp14:editId="6EB32B0B">
              <wp:simplePos x="0" y="0"/>
              <wp:positionH relativeFrom="page">
                <wp:posOffset>342265</wp:posOffset>
              </wp:positionH>
              <wp:positionV relativeFrom="page">
                <wp:posOffset>575944</wp:posOffset>
              </wp:positionV>
              <wp:extent cx="6875780" cy="0"/>
              <wp:effectExtent l="0" t="0" r="2032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75780" cy="0"/>
                      </a:xfrm>
                      <a:prstGeom prst="line">
                        <a:avLst/>
                      </a:prstGeom>
                      <a:ln w="127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3" o:spid="_x0000_s1026" style="position:absolute;z-index:251682816;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margin;mso-height-relative:page" from="26.95pt,45.35pt" to="568.35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" strokecolor="black [3213]" strokeweight="1pt">
              <v:stroke dashstyle="1 1"/>
              <o:lock v:ext="edit" shapetype="f"/>
              <w10:wrap anchorx="page" anchory="page"/>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F191D7" w14:textId="149255BF" w:rsidR="00041FEB" w:rsidRPr="00EE326C" w:rsidRDefault="00041FEB" w:rsidP="006842C5">
    <w:pPr>
      <w:pStyle w:val="Header"/>
    </w:pPr>
    <w:r>
      <w:rPr>
        <w:noProof/>
        <w:lang w:eastAsia="en-GB"/>
      </w:rPr>
      <mc:AlternateContent>
        <mc:Choice Requires="wps">
          <w:drawing>
            <wp:anchor distT="4294967294" distB="4294967294" distL="114300" distR="114300" simplePos="0" relativeHeight="251680768" behindDoc="0" locked="0" layoutInCell="1" allowOverlap="1" wp14:anchorId="68F191DB" wp14:editId="73A4CE7C">
              <wp:simplePos x="0" y="0"/>
              <wp:positionH relativeFrom="page">
                <wp:posOffset>342265</wp:posOffset>
              </wp:positionH>
              <wp:positionV relativeFrom="page">
                <wp:posOffset>575944</wp:posOffset>
              </wp:positionV>
              <wp:extent cx="6875780" cy="0"/>
              <wp:effectExtent l="0" t="0" r="2032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75780" cy="0"/>
                      </a:xfrm>
                      <a:prstGeom prst="line">
                        <a:avLst/>
                      </a:prstGeom>
                      <a:ln w="127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2" o:spid="_x0000_s1026" style="position:absolute;z-index:251680768;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margin;mso-height-relative:page" from="26.95pt,45.35pt" to="568.35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" strokecolor="black [3213]" strokeweight="1pt">
              <v:stroke dashstyle="1 1"/>
              <o:lock v:ext="edit" shapetype="f"/>
              <w10:wrap anchorx="page" anchory="page"/>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CF293F0"/>
    <w:lvl w:ilvl="0">
      <w:start w:val="1"/>
      <w:numFmt w:val="decimal"/>
      <w:lvlText w:val="%1."/>
      <w:lvlJc w:val="left"/>
      <w:pPr>
        <w:tabs>
          <w:tab w:val="num" w:pos="1492"/>
        </w:tabs>
        <w:ind w:left="1492" w:hanging="360"/>
      </w:pPr>
    </w:lvl>
  </w:abstractNum>
  <w:abstractNum w:abstractNumId="1">
    <w:nsid w:val="FFFFFF7D"/>
    <w:multiLevelType w:val="singleLevel"/>
    <w:tmpl w:val="909C308E"/>
    <w:lvl w:ilvl="0">
      <w:start w:val="1"/>
      <w:numFmt w:val="decimal"/>
      <w:lvlText w:val="%1."/>
      <w:lvlJc w:val="left"/>
      <w:pPr>
        <w:tabs>
          <w:tab w:val="num" w:pos="1209"/>
        </w:tabs>
        <w:ind w:left="1209" w:hanging="360"/>
      </w:pPr>
    </w:lvl>
  </w:abstractNum>
  <w:abstractNum w:abstractNumId="2">
    <w:nsid w:val="FFFFFF7E"/>
    <w:multiLevelType w:val="singleLevel"/>
    <w:tmpl w:val="40E0284E"/>
    <w:lvl w:ilvl="0">
      <w:start w:val="1"/>
      <w:numFmt w:val="decimal"/>
      <w:lvlText w:val="%1."/>
      <w:lvlJc w:val="left"/>
      <w:pPr>
        <w:tabs>
          <w:tab w:val="num" w:pos="926"/>
        </w:tabs>
        <w:ind w:left="926" w:hanging="360"/>
      </w:pPr>
    </w:lvl>
  </w:abstractNum>
  <w:abstractNum w:abstractNumId="3">
    <w:nsid w:val="FFFFFF7F"/>
    <w:multiLevelType w:val="singleLevel"/>
    <w:tmpl w:val="5D68DA2A"/>
    <w:lvl w:ilvl="0">
      <w:start w:val="1"/>
      <w:numFmt w:val="decimal"/>
      <w:lvlText w:val="%1."/>
      <w:lvlJc w:val="left"/>
      <w:pPr>
        <w:tabs>
          <w:tab w:val="num" w:pos="643"/>
        </w:tabs>
        <w:ind w:left="643" w:hanging="360"/>
      </w:pPr>
    </w:lvl>
  </w:abstractNum>
  <w:abstractNum w:abstractNumId="4">
    <w:nsid w:val="FFFFFF80"/>
    <w:multiLevelType w:val="singleLevel"/>
    <w:tmpl w:val="5156B00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06AD1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F4C1F8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060C5D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4522AC6"/>
    <w:lvl w:ilvl="0">
      <w:start w:val="1"/>
      <w:numFmt w:val="decimal"/>
      <w:lvlText w:val="%1."/>
      <w:lvlJc w:val="left"/>
      <w:pPr>
        <w:tabs>
          <w:tab w:val="num" w:pos="360"/>
        </w:tabs>
        <w:ind w:left="360" w:hanging="360"/>
      </w:pPr>
    </w:lvl>
  </w:abstractNum>
  <w:abstractNum w:abstractNumId="9">
    <w:nsid w:val="FFFFFF89"/>
    <w:multiLevelType w:val="singleLevel"/>
    <w:tmpl w:val="77D81A04"/>
    <w:lvl w:ilvl="0">
      <w:start w:val="1"/>
      <w:numFmt w:val="bullet"/>
      <w:lvlText w:val=""/>
      <w:lvlJc w:val="left"/>
      <w:pPr>
        <w:tabs>
          <w:tab w:val="num" w:pos="284"/>
        </w:tabs>
        <w:ind w:left="284" w:hanging="284"/>
      </w:pPr>
      <w:rPr>
        <w:rFonts w:ascii="Symbol" w:hAnsi="Symbol" w:hint="default"/>
      </w:rPr>
    </w:lvl>
  </w:abstractNum>
  <w:abstractNum w:abstractNumId="10">
    <w:nsid w:val="0CE55274"/>
    <w:multiLevelType w:val="multilevel"/>
    <w:tmpl w:val="1472CC76"/>
    <w:lvl w:ilvl="0">
      <w:start w:val="1"/>
      <w:numFmt w:val="bullet"/>
      <w:lvlText w:val=""/>
      <w:lvlJc w:val="left"/>
      <w:pPr>
        <w:tabs>
          <w:tab w:val="num" w:pos="284"/>
        </w:tabs>
        <w:ind w:left="284" w:hanging="284"/>
      </w:pPr>
      <w:rPr>
        <w:rFonts w:ascii="Symbol" w:hAnsi="Symbol" w:hint="default"/>
        <w:color w:val="auto"/>
      </w:rPr>
    </w:lvl>
    <w:lvl w:ilvl="1">
      <w:start w:val="1"/>
      <w:numFmt w:val="bullet"/>
      <w:lvlText w:val=""/>
      <w:lvlJc w:val="left"/>
      <w:pPr>
        <w:tabs>
          <w:tab w:val="num" w:pos="567"/>
        </w:tabs>
        <w:ind w:left="568" w:hanging="284"/>
      </w:pPr>
      <w:rPr>
        <w:rFonts w:ascii="Symbol" w:hAnsi="Symbol" w:hint="default"/>
        <w:color w:val="auto"/>
      </w:rPr>
    </w:lvl>
    <w:lvl w:ilvl="2">
      <w:start w:val="1"/>
      <w:numFmt w:val="bullet"/>
      <w:lvlText w:val=""/>
      <w:lvlJc w:val="left"/>
      <w:pPr>
        <w:tabs>
          <w:tab w:val="num" w:pos="851"/>
        </w:tabs>
        <w:ind w:left="852" w:hanging="284"/>
      </w:pPr>
      <w:rPr>
        <w:rFonts w:ascii="Symbol" w:hAnsi="Symbol" w:hint="default"/>
        <w:color w:val="auto"/>
      </w:rPr>
    </w:lvl>
    <w:lvl w:ilvl="3">
      <w:start w:val="1"/>
      <w:numFmt w:val="bullet"/>
      <w:lvlText w:val=""/>
      <w:lvlJc w:val="left"/>
      <w:pPr>
        <w:tabs>
          <w:tab w:val="num" w:pos="1134"/>
        </w:tabs>
        <w:ind w:left="1136" w:hanging="284"/>
      </w:pPr>
      <w:rPr>
        <w:rFonts w:ascii="Symbol" w:hAnsi="Symbol" w:hint="default"/>
        <w:color w:val="auto"/>
      </w:rPr>
    </w:lvl>
    <w:lvl w:ilvl="4">
      <w:start w:val="1"/>
      <w:numFmt w:val="bullet"/>
      <w:lvlText w:val=""/>
      <w:lvlJc w:val="left"/>
      <w:pPr>
        <w:tabs>
          <w:tab w:val="num" w:pos="1418"/>
        </w:tabs>
        <w:ind w:left="1420" w:hanging="284"/>
      </w:pPr>
      <w:rPr>
        <w:rFonts w:ascii="Symbol" w:hAnsi="Symbol" w:hint="default"/>
        <w:color w:val="auto"/>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1">
    <w:nsid w:val="0DF637BF"/>
    <w:multiLevelType w:val="hybridMultilevel"/>
    <w:tmpl w:val="EE26A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173195F"/>
    <w:multiLevelType w:val="multilevel"/>
    <w:tmpl w:val="0B1C8938"/>
    <w:styleLink w:val="ODINumberedList"/>
    <w:lvl w:ilvl="0">
      <w:start w:val="1"/>
      <w:numFmt w:val="decimal"/>
      <w:pStyle w:val="ListNumber"/>
      <w:lvlText w:val="%1"/>
      <w:lvlJc w:val="left"/>
      <w:pPr>
        <w:tabs>
          <w:tab w:val="num" w:pos="567"/>
        </w:tabs>
        <w:ind w:left="567" w:hanging="283"/>
      </w:pPr>
      <w:rPr>
        <w:rFonts w:ascii="Verdana" w:hAnsi="Verdana" w:hint="default"/>
        <w:b w:val="0"/>
        <w:i w:val="0"/>
        <w:sz w:val="20"/>
      </w:rPr>
    </w:lvl>
    <w:lvl w:ilvl="1">
      <w:start w:val="1"/>
      <w:numFmt w:val="lowerLetter"/>
      <w:pStyle w:val="ListNumber2"/>
      <w:lvlText w:val="%2"/>
      <w:lvlJc w:val="left"/>
      <w:pPr>
        <w:tabs>
          <w:tab w:val="num" w:pos="851"/>
        </w:tabs>
        <w:ind w:left="851" w:hanging="284"/>
      </w:pPr>
      <w:rPr>
        <w:rFonts w:hint="default"/>
      </w:rPr>
    </w:lvl>
    <w:lvl w:ilvl="2">
      <w:start w:val="1"/>
      <w:numFmt w:val="lowerRoman"/>
      <w:pStyle w:val="ListNumber3"/>
      <w:lvlText w:val="%3"/>
      <w:lvlJc w:val="left"/>
      <w:pPr>
        <w:tabs>
          <w:tab w:val="num" w:pos="1134"/>
        </w:tabs>
        <w:ind w:left="1134" w:hanging="283"/>
      </w:pPr>
      <w:rPr>
        <w:rFonts w:hint="default"/>
      </w:rPr>
    </w:lvl>
    <w:lvl w:ilvl="3">
      <w:start w:val="1"/>
      <w:numFmt w:val="decimal"/>
      <w:lvlText w:val="%1.%2.%3.%4"/>
      <w:lvlJc w:val="left"/>
      <w:pPr>
        <w:tabs>
          <w:tab w:val="num" w:pos="2835"/>
        </w:tabs>
        <w:ind w:left="2835" w:hanging="850"/>
      </w:pPr>
      <w:rPr>
        <w:rFonts w:hint="default"/>
      </w:rPr>
    </w:lvl>
    <w:lvl w:ilvl="4">
      <w:start w:val="1"/>
      <w:numFmt w:val="decimal"/>
      <w:lvlText w:val="%1.%2.%3.%4.%5"/>
      <w:lvlJc w:val="left"/>
      <w:pPr>
        <w:tabs>
          <w:tab w:val="num" w:pos="3969"/>
        </w:tabs>
        <w:ind w:left="3969"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139447FD"/>
    <w:multiLevelType w:val="hybridMultilevel"/>
    <w:tmpl w:val="EEAE4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3FF42B6"/>
    <w:multiLevelType w:val="multilevel"/>
    <w:tmpl w:val="E24659FC"/>
    <w:styleLink w:val="ODITableHeadings"/>
    <w:lvl w:ilvl="0">
      <w:start w:val="1"/>
      <w:numFmt w:val="decimal"/>
      <w:pStyle w:val="TableHeading"/>
      <w:suff w:val="space"/>
      <w:lvlText w:val="Table %1:"/>
      <w:lvlJc w:val="left"/>
      <w:pPr>
        <w:ind w:left="360" w:hanging="360"/>
      </w:pPr>
      <w:rPr>
        <w:rFonts w:ascii="Trebuchet MS" w:hAnsi="Trebuchet MS" w:hint="default"/>
        <w:b/>
        <w:i w:val="0"/>
        <w:color w:val="1E407B" w:themeColor="accent1"/>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2096577D"/>
    <w:multiLevelType w:val="hybridMultilevel"/>
    <w:tmpl w:val="4014D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F1C0BF7"/>
    <w:multiLevelType w:val="hybridMultilevel"/>
    <w:tmpl w:val="05143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54B31C1"/>
    <w:multiLevelType w:val="multilevel"/>
    <w:tmpl w:val="F992D968"/>
    <w:styleLink w:val="ODIBullets"/>
    <w:lvl w:ilvl="0">
      <w:start w:val="1"/>
      <w:numFmt w:val="bullet"/>
      <w:pStyle w:val="ListBullet"/>
      <w:lvlText w:val=""/>
      <w:lvlJc w:val="left"/>
      <w:pPr>
        <w:tabs>
          <w:tab w:val="num" w:pos="567"/>
        </w:tabs>
        <w:ind w:left="567" w:hanging="283"/>
      </w:pPr>
      <w:rPr>
        <w:rFonts w:ascii="Symbol" w:hAnsi="Symbol" w:hint="default"/>
        <w:b w:val="0"/>
        <w:i w:val="0"/>
        <w:color w:val="1E407B" w:themeColor="accent1"/>
        <w:sz w:val="24"/>
      </w:rPr>
    </w:lvl>
    <w:lvl w:ilvl="1">
      <w:start w:val="1"/>
      <w:numFmt w:val="bullet"/>
      <w:pStyle w:val="ListBullet2"/>
      <w:lvlText w:val=""/>
      <w:lvlJc w:val="left"/>
      <w:pPr>
        <w:tabs>
          <w:tab w:val="num" w:pos="851"/>
        </w:tabs>
        <w:ind w:left="851" w:hanging="284"/>
      </w:pPr>
      <w:rPr>
        <w:rFonts w:ascii="Symbol" w:hAnsi="Symbol" w:hint="default"/>
        <w:color w:val="1E407B" w:themeColor="accent1"/>
        <w:sz w:val="24"/>
      </w:rPr>
    </w:lvl>
    <w:lvl w:ilvl="2">
      <w:start w:val="1"/>
      <w:numFmt w:val="bullet"/>
      <w:lvlText w:val=""/>
      <w:lvlJc w:val="left"/>
      <w:pPr>
        <w:tabs>
          <w:tab w:val="num" w:pos="851"/>
        </w:tabs>
        <w:ind w:left="852" w:hanging="284"/>
      </w:pPr>
      <w:rPr>
        <w:rFonts w:ascii="Symbol" w:hAnsi="Symbol" w:hint="default"/>
        <w:color w:val="auto"/>
      </w:rPr>
    </w:lvl>
    <w:lvl w:ilvl="3">
      <w:start w:val="1"/>
      <w:numFmt w:val="bullet"/>
      <w:lvlText w:val=""/>
      <w:lvlJc w:val="left"/>
      <w:pPr>
        <w:tabs>
          <w:tab w:val="num" w:pos="1134"/>
        </w:tabs>
        <w:ind w:left="1136" w:hanging="284"/>
      </w:pPr>
      <w:rPr>
        <w:rFonts w:ascii="Symbol" w:hAnsi="Symbol" w:hint="default"/>
        <w:color w:val="auto"/>
      </w:rPr>
    </w:lvl>
    <w:lvl w:ilvl="4">
      <w:start w:val="1"/>
      <w:numFmt w:val="bullet"/>
      <w:lvlText w:val=""/>
      <w:lvlJc w:val="left"/>
      <w:pPr>
        <w:tabs>
          <w:tab w:val="num" w:pos="1418"/>
        </w:tabs>
        <w:ind w:left="1420" w:hanging="284"/>
      </w:pPr>
      <w:rPr>
        <w:rFonts w:ascii="Symbol" w:hAnsi="Symbol" w:hint="default"/>
        <w:color w:val="auto"/>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8">
    <w:nsid w:val="476E099C"/>
    <w:multiLevelType w:val="multilevel"/>
    <w:tmpl w:val="ED1016CC"/>
    <w:styleLink w:val="ODIBoxBullet"/>
    <w:lvl w:ilvl="0">
      <w:start w:val="1"/>
      <w:numFmt w:val="bullet"/>
      <w:pStyle w:val="BoxBullet"/>
      <w:lvlText w:val=""/>
      <w:lvlJc w:val="left"/>
      <w:pPr>
        <w:tabs>
          <w:tab w:val="num" w:pos="567"/>
        </w:tabs>
        <w:ind w:left="567" w:hanging="283"/>
      </w:pPr>
      <w:rPr>
        <w:rFonts w:ascii="Symbol" w:hAnsi="Symbol" w:hint="default"/>
        <w:color w:val="1E407B" w:themeColor="accent1"/>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49FA360E"/>
    <w:multiLevelType w:val="hybridMultilevel"/>
    <w:tmpl w:val="EBAEFF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8B560A3"/>
    <w:multiLevelType w:val="hybridMultilevel"/>
    <w:tmpl w:val="ACAE2B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D87577E"/>
    <w:multiLevelType w:val="multilevel"/>
    <w:tmpl w:val="B5307F94"/>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247"/>
        </w:tabs>
        <w:ind w:left="1247" w:hanging="680"/>
      </w:pPr>
      <w:rPr>
        <w:rFonts w:hint="default"/>
      </w:rPr>
    </w:lvl>
    <w:lvl w:ilvl="2">
      <w:start w:val="1"/>
      <w:numFmt w:val="decimal"/>
      <w:lvlText w:val="%1.%2.%3"/>
      <w:lvlJc w:val="left"/>
      <w:pPr>
        <w:tabs>
          <w:tab w:val="num" w:pos="1985"/>
        </w:tabs>
        <w:ind w:left="1985" w:hanging="738"/>
      </w:pPr>
      <w:rPr>
        <w:rFonts w:hint="default"/>
      </w:rPr>
    </w:lvl>
    <w:lvl w:ilvl="3">
      <w:start w:val="1"/>
      <w:numFmt w:val="decimal"/>
      <w:lvlText w:val="%1.%2.%3.%4"/>
      <w:lvlJc w:val="left"/>
      <w:pPr>
        <w:tabs>
          <w:tab w:val="num" w:pos="2835"/>
        </w:tabs>
        <w:ind w:left="2835" w:hanging="850"/>
      </w:pPr>
      <w:rPr>
        <w:rFonts w:hint="default"/>
      </w:rPr>
    </w:lvl>
    <w:lvl w:ilvl="4">
      <w:start w:val="1"/>
      <w:numFmt w:val="decimal"/>
      <w:lvlText w:val="%1.%2.%3.%4.%5"/>
      <w:lvlJc w:val="left"/>
      <w:pPr>
        <w:tabs>
          <w:tab w:val="num" w:pos="3969"/>
        </w:tabs>
        <w:ind w:left="3969"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5D8A31BC"/>
    <w:multiLevelType w:val="hybridMultilevel"/>
    <w:tmpl w:val="82BCD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22F658D"/>
    <w:multiLevelType w:val="hybridMultilevel"/>
    <w:tmpl w:val="2BE67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87F2D57"/>
    <w:multiLevelType w:val="multilevel"/>
    <w:tmpl w:val="D44C0DD8"/>
    <w:styleLink w:val="ODILastBullet"/>
    <w:lvl w:ilvl="0">
      <w:start w:val="1"/>
      <w:numFmt w:val="bullet"/>
      <w:pStyle w:val="LastBullet"/>
      <w:lvlText w:val=""/>
      <w:lvlJc w:val="left"/>
      <w:pPr>
        <w:tabs>
          <w:tab w:val="num" w:pos="567"/>
        </w:tabs>
        <w:ind w:left="567" w:hanging="283"/>
      </w:pPr>
      <w:rPr>
        <w:rFonts w:ascii="Symbol" w:hAnsi="Symbol" w:hint="default"/>
        <w:b w:val="0"/>
        <w:i w:val="0"/>
        <w:color w:val="1E407B" w:themeColor="accent1"/>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69FF1948"/>
    <w:multiLevelType w:val="multilevel"/>
    <w:tmpl w:val="CB3C53AE"/>
    <w:styleLink w:val="ODITableBullet"/>
    <w:lvl w:ilvl="0">
      <w:start w:val="1"/>
      <w:numFmt w:val="bullet"/>
      <w:pStyle w:val="TableBullet"/>
      <w:lvlText w:val=""/>
      <w:lvlJc w:val="left"/>
      <w:pPr>
        <w:tabs>
          <w:tab w:val="num" w:pos="284"/>
        </w:tabs>
        <w:ind w:left="284" w:hanging="284"/>
      </w:pPr>
      <w:rPr>
        <w:rFonts w:ascii="Symbol" w:hAnsi="Symbol" w:hint="default"/>
        <w:color w:val="auto"/>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nsid w:val="733F0260"/>
    <w:multiLevelType w:val="multilevel"/>
    <w:tmpl w:val="9084BA30"/>
    <w:styleLink w:val="ODIHeadings"/>
    <w:lvl w:ilvl="0">
      <w:start w:val="1"/>
      <w:numFmt w:val="decimal"/>
      <w:lvlText w:val="%1"/>
      <w:lvlJc w:val="left"/>
      <w:pPr>
        <w:tabs>
          <w:tab w:val="num" w:pos="936"/>
        </w:tabs>
        <w:ind w:left="936" w:hanging="936"/>
      </w:pPr>
      <w:rPr>
        <w:rFonts w:ascii="Trebuchet MS" w:hAnsi="Trebuchet MS" w:hint="default"/>
        <w:b/>
        <w:i w:val="0"/>
        <w:color w:val="5D75A9" w:themeColor="accent2"/>
        <w:position w:val="0"/>
        <w:sz w:val="70"/>
      </w:rPr>
    </w:lvl>
    <w:lvl w:ilvl="1">
      <w:start w:val="1"/>
      <w:numFmt w:val="decimal"/>
      <w:lvlText w:val="%1.%2"/>
      <w:lvlJc w:val="left"/>
      <w:pPr>
        <w:tabs>
          <w:tab w:val="num" w:pos="1021"/>
        </w:tabs>
        <w:ind w:left="1021" w:hanging="1021"/>
      </w:pPr>
      <w:rPr>
        <w:rFonts w:ascii="Trebuchet MS" w:hAnsi="Trebuchet MS" w:hint="default"/>
        <w:b w:val="0"/>
        <w:i w:val="0"/>
        <w:color w:val="5D75A9" w:themeColor="accent2"/>
        <w:sz w:val="38"/>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nsid w:val="752C6B9A"/>
    <w:multiLevelType w:val="hybridMultilevel"/>
    <w:tmpl w:val="4EB4C6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776247FF"/>
    <w:multiLevelType w:val="multilevel"/>
    <w:tmpl w:val="D24C66CE"/>
    <w:styleLink w:val="ODIBoxHeadings"/>
    <w:lvl w:ilvl="0">
      <w:start w:val="1"/>
      <w:numFmt w:val="decimal"/>
      <w:pStyle w:val="BoxHeading"/>
      <w:suff w:val="space"/>
      <w:lvlText w:val="Box %1:"/>
      <w:lvlJc w:val="left"/>
      <w:pPr>
        <w:ind w:left="360" w:hanging="360"/>
      </w:pPr>
      <w:rPr>
        <w:rFonts w:ascii="Trebuchet MS" w:hAnsi="Trebuchet MS" w:hint="default"/>
        <w:b/>
        <w:i w:val="0"/>
        <w:color w:val="1E407B" w:themeColor="accent1"/>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nsid w:val="7A887715"/>
    <w:multiLevelType w:val="multilevel"/>
    <w:tmpl w:val="FF32A6EE"/>
    <w:styleLink w:val="ODIFigureHeadings"/>
    <w:lvl w:ilvl="0">
      <w:start w:val="1"/>
      <w:numFmt w:val="decimal"/>
      <w:pStyle w:val="FigureHeading"/>
      <w:suff w:val="space"/>
      <w:lvlText w:val="Figure %1:"/>
      <w:lvlJc w:val="left"/>
      <w:pPr>
        <w:ind w:left="360" w:hanging="360"/>
      </w:pPr>
      <w:rPr>
        <w:rFonts w:ascii="Trebuchet MS" w:hAnsi="Trebuchet MS" w:hint="default"/>
        <w:b/>
        <w:i w:val="0"/>
        <w:color w:val="1E407B" w:themeColor="accent1"/>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26"/>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29"/>
  </w:num>
  <w:num w:numId="18">
    <w:abstractNumId w:val="28"/>
  </w:num>
  <w:num w:numId="19">
    <w:abstractNumId w:val="17"/>
  </w:num>
  <w:num w:numId="20">
    <w:abstractNumId w:val="24"/>
  </w:num>
  <w:num w:numId="21">
    <w:abstractNumId w:val="25"/>
  </w:num>
  <w:num w:numId="22">
    <w:abstractNumId w:val="18"/>
  </w:num>
  <w:num w:numId="23">
    <w:abstractNumId w:val="12"/>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num>
  <w:num w:numId="26">
    <w:abstractNumId w:val="19"/>
  </w:num>
  <w:num w:numId="27">
    <w:abstractNumId w:val="23"/>
  </w:num>
  <w:num w:numId="28">
    <w:abstractNumId w:val="15"/>
  </w:num>
  <w:num w:numId="29">
    <w:abstractNumId w:val="16"/>
  </w:num>
  <w:num w:numId="30">
    <w:abstractNumId w:val="11"/>
  </w:num>
  <w:num w:numId="31">
    <w:abstractNumId w:val="20"/>
  </w:num>
  <w:num w:numId="32">
    <w:abstractNumId w:val="22"/>
  </w:num>
  <w:num w:numId="3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D4A27517-5DA4-4060-A2DB-4AC567D75BA4}"/>
    <w:docVar w:name="dgnword-eventsink" w:val="74774872"/>
  </w:docVars>
  <w:rsids>
    <w:rsidRoot w:val="006029DA"/>
    <w:rsid w:val="00000850"/>
    <w:rsid w:val="0001514C"/>
    <w:rsid w:val="0002695F"/>
    <w:rsid w:val="00031CCD"/>
    <w:rsid w:val="0003650F"/>
    <w:rsid w:val="00041FEB"/>
    <w:rsid w:val="0005222E"/>
    <w:rsid w:val="00064BFB"/>
    <w:rsid w:val="00082FAD"/>
    <w:rsid w:val="000A2821"/>
    <w:rsid w:val="000B6991"/>
    <w:rsid w:val="000D1433"/>
    <w:rsid w:val="000D3120"/>
    <w:rsid w:val="000D4CA4"/>
    <w:rsid w:val="001032B7"/>
    <w:rsid w:val="0011009C"/>
    <w:rsid w:val="00130E60"/>
    <w:rsid w:val="00133231"/>
    <w:rsid w:val="0013617A"/>
    <w:rsid w:val="001A761C"/>
    <w:rsid w:val="001B35E4"/>
    <w:rsid w:val="001B4EE1"/>
    <w:rsid w:val="001C4654"/>
    <w:rsid w:val="001D36AE"/>
    <w:rsid w:val="001D49A0"/>
    <w:rsid w:val="001D7235"/>
    <w:rsid w:val="001F4E55"/>
    <w:rsid w:val="0021269B"/>
    <w:rsid w:val="002463BE"/>
    <w:rsid w:val="00255B93"/>
    <w:rsid w:val="00262560"/>
    <w:rsid w:val="00272C14"/>
    <w:rsid w:val="002731D3"/>
    <w:rsid w:val="002B354B"/>
    <w:rsid w:val="002C0D79"/>
    <w:rsid w:val="002C3051"/>
    <w:rsid w:val="002F3D9C"/>
    <w:rsid w:val="00303E52"/>
    <w:rsid w:val="00305FA5"/>
    <w:rsid w:val="0030797E"/>
    <w:rsid w:val="00310652"/>
    <w:rsid w:val="003409AF"/>
    <w:rsid w:val="00346D13"/>
    <w:rsid w:val="003628EB"/>
    <w:rsid w:val="00371218"/>
    <w:rsid w:val="00394688"/>
    <w:rsid w:val="003B027C"/>
    <w:rsid w:val="003D06DA"/>
    <w:rsid w:val="003E012B"/>
    <w:rsid w:val="003E79AF"/>
    <w:rsid w:val="003F13EA"/>
    <w:rsid w:val="003F5500"/>
    <w:rsid w:val="00400DDA"/>
    <w:rsid w:val="00403ED6"/>
    <w:rsid w:val="00457F88"/>
    <w:rsid w:val="00462DDC"/>
    <w:rsid w:val="00470867"/>
    <w:rsid w:val="00484325"/>
    <w:rsid w:val="00485EC0"/>
    <w:rsid w:val="00486495"/>
    <w:rsid w:val="004D603C"/>
    <w:rsid w:val="005217FF"/>
    <w:rsid w:val="005304D0"/>
    <w:rsid w:val="00543D1D"/>
    <w:rsid w:val="00545BC5"/>
    <w:rsid w:val="00551EA2"/>
    <w:rsid w:val="00563320"/>
    <w:rsid w:val="00567544"/>
    <w:rsid w:val="00590C4A"/>
    <w:rsid w:val="005A1BA7"/>
    <w:rsid w:val="005A58F4"/>
    <w:rsid w:val="005B0344"/>
    <w:rsid w:val="005C2CD5"/>
    <w:rsid w:val="005D25FA"/>
    <w:rsid w:val="005E037A"/>
    <w:rsid w:val="005F2BFA"/>
    <w:rsid w:val="005F4244"/>
    <w:rsid w:val="006029DA"/>
    <w:rsid w:val="0061014A"/>
    <w:rsid w:val="00617000"/>
    <w:rsid w:val="00640456"/>
    <w:rsid w:val="00644703"/>
    <w:rsid w:val="006572EF"/>
    <w:rsid w:val="0066014E"/>
    <w:rsid w:val="00664562"/>
    <w:rsid w:val="0067593F"/>
    <w:rsid w:val="006842C5"/>
    <w:rsid w:val="00684FE5"/>
    <w:rsid w:val="006B2F9B"/>
    <w:rsid w:val="006C1FA8"/>
    <w:rsid w:val="006C3E84"/>
    <w:rsid w:val="006D2D2E"/>
    <w:rsid w:val="006F684D"/>
    <w:rsid w:val="00705562"/>
    <w:rsid w:val="007177E3"/>
    <w:rsid w:val="0073462B"/>
    <w:rsid w:val="0075133B"/>
    <w:rsid w:val="00757B0B"/>
    <w:rsid w:val="0079606F"/>
    <w:rsid w:val="0079751A"/>
    <w:rsid w:val="007B1A68"/>
    <w:rsid w:val="007C0CF7"/>
    <w:rsid w:val="007F6828"/>
    <w:rsid w:val="008010A2"/>
    <w:rsid w:val="008124C0"/>
    <w:rsid w:val="0082160C"/>
    <w:rsid w:val="00835040"/>
    <w:rsid w:val="0084519B"/>
    <w:rsid w:val="00852D08"/>
    <w:rsid w:val="00865754"/>
    <w:rsid w:val="0088042D"/>
    <w:rsid w:val="008A1ACA"/>
    <w:rsid w:val="008A430A"/>
    <w:rsid w:val="00926356"/>
    <w:rsid w:val="00927476"/>
    <w:rsid w:val="00946728"/>
    <w:rsid w:val="009620BC"/>
    <w:rsid w:val="00962BC0"/>
    <w:rsid w:val="00996663"/>
    <w:rsid w:val="009A08FB"/>
    <w:rsid w:val="009A29AA"/>
    <w:rsid w:val="009C3C78"/>
    <w:rsid w:val="009D26F6"/>
    <w:rsid w:val="009D72A8"/>
    <w:rsid w:val="009E520B"/>
    <w:rsid w:val="009F065F"/>
    <w:rsid w:val="009F1A46"/>
    <w:rsid w:val="009F3201"/>
    <w:rsid w:val="009F76EA"/>
    <w:rsid w:val="00A251B5"/>
    <w:rsid w:val="00A44F79"/>
    <w:rsid w:val="00A55623"/>
    <w:rsid w:val="00A55E26"/>
    <w:rsid w:val="00A63EF0"/>
    <w:rsid w:val="00A80AD9"/>
    <w:rsid w:val="00A90359"/>
    <w:rsid w:val="00AD0B21"/>
    <w:rsid w:val="00AD51AB"/>
    <w:rsid w:val="00AE5156"/>
    <w:rsid w:val="00AE567E"/>
    <w:rsid w:val="00AE752E"/>
    <w:rsid w:val="00AF1C36"/>
    <w:rsid w:val="00B1497C"/>
    <w:rsid w:val="00B36F67"/>
    <w:rsid w:val="00B43E10"/>
    <w:rsid w:val="00B4707F"/>
    <w:rsid w:val="00B755ED"/>
    <w:rsid w:val="00B808C2"/>
    <w:rsid w:val="00B851CA"/>
    <w:rsid w:val="00BA441A"/>
    <w:rsid w:val="00BA57CA"/>
    <w:rsid w:val="00BA639F"/>
    <w:rsid w:val="00BB2A9C"/>
    <w:rsid w:val="00BB675E"/>
    <w:rsid w:val="00BC1A2F"/>
    <w:rsid w:val="00BC245D"/>
    <w:rsid w:val="00BD3901"/>
    <w:rsid w:val="00BE010C"/>
    <w:rsid w:val="00BF137D"/>
    <w:rsid w:val="00C002AC"/>
    <w:rsid w:val="00C00A3D"/>
    <w:rsid w:val="00C12C19"/>
    <w:rsid w:val="00C141A3"/>
    <w:rsid w:val="00C16D5D"/>
    <w:rsid w:val="00C23F66"/>
    <w:rsid w:val="00C2422C"/>
    <w:rsid w:val="00C25DA5"/>
    <w:rsid w:val="00C325B7"/>
    <w:rsid w:val="00C34342"/>
    <w:rsid w:val="00C34B1C"/>
    <w:rsid w:val="00C34FB8"/>
    <w:rsid w:val="00C41384"/>
    <w:rsid w:val="00C53D15"/>
    <w:rsid w:val="00C7167F"/>
    <w:rsid w:val="00C745EF"/>
    <w:rsid w:val="00CA1421"/>
    <w:rsid w:val="00CB16D9"/>
    <w:rsid w:val="00CB2389"/>
    <w:rsid w:val="00CC2F0A"/>
    <w:rsid w:val="00CC7B99"/>
    <w:rsid w:val="00CD4953"/>
    <w:rsid w:val="00CD6E26"/>
    <w:rsid w:val="00D05D53"/>
    <w:rsid w:val="00D10D73"/>
    <w:rsid w:val="00D2707D"/>
    <w:rsid w:val="00D3418D"/>
    <w:rsid w:val="00D4065B"/>
    <w:rsid w:val="00D444ED"/>
    <w:rsid w:val="00D522AF"/>
    <w:rsid w:val="00D54624"/>
    <w:rsid w:val="00D63019"/>
    <w:rsid w:val="00D7098B"/>
    <w:rsid w:val="00D80511"/>
    <w:rsid w:val="00DA00FD"/>
    <w:rsid w:val="00DA68ED"/>
    <w:rsid w:val="00DE6F6D"/>
    <w:rsid w:val="00DF657C"/>
    <w:rsid w:val="00E42B6A"/>
    <w:rsid w:val="00E43561"/>
    <w:rsid w:val="00EA756A"/>
    <w:rsid w:val="00EC049E"/>
    <w:rsid w:val="00EE326C"/>
    <w:rsid w:val="00EE4860"/>
    <w:rsid w:val="00F05E89"/>
    <w:rsid w:val="00F060FB"/>
    <w:rsid w:val="00F07233"/>
    <w:rsid w:val="00F118A0"/>
    <w:rsid w:val="00F1337E"/>
    <w:rsid w:val="00F16BDE"/>
    <w:rsid w:val="00F319A2"/>
    <w:rsid w:val="00F50092"/>
    <w:rsid w:val="00F61EC5"/>
    <w:rsid w:val="00F624DF"/>
    <w:rsid w:val="00F6653B"/>
    <w:rsid w:val="00F74F0E"/>
    <w:rsid w:val="00F85D3A"/>
    <w:rsid w:val="00F94CB0"/>
    <w:rsid w:val="00F97734"/>
    <w:rsid w:val="00FB0BC4"/>
    <w:rsid w:val="00FD69CD"/>
    <w:rsid w:val="00FE1ED2"/>
    <w:rsid w:val="00FE7B6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F19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w:qFormat="1"/>
    <w:lsdException w:name="List Bullet" w:qFormat="1"/>
    <w:lsdException w:name="List Number" w:qFormat="1"/>
    <w:lsdException w:name="List 2" w:qFormat="1"/>
    <w:lsdException w:name="List 3" w:qFormat="1"/>
    <w:lsdException w:name="List Bullet 2" w:qFormat="1"/>
    <w:lsdException w:name="List Bullet 3" w:qFormat="1"/>
    <w:lsdException w:name="List Number 2" w:qFormat="1"/>
    <w:lsdException w:name="List Number 3" w:qFormat="1"/>
    <w:lsdException w:name="Title" w:semiHidden="0" w:uiPriority="10" w:unhideWhenUsed="0" w:qFormat="1"/>
    <w:lsdException w:name="Default Paragraph Font" w:uiPriority="1"/>
    <w:lsdException w:name="Body Text" w:qFormat="1"/>
    <w:lsdException w:name="List Continue" w:qFormat="1"/>
    <w:lsdException w:name="List Continue 2" w:qFormat="1"/>
    <w:lsdException w:name="List Continue 3" w:qFormat="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uiPriority="33" w:unhideWhenUsed="0"/>
    <w:lsdException w:name="Bibliography" w:uiPriority="37"/>
    <w:lsdException w:name="TOC Heading" w:uiPriority="39" w:qFormat="1"/>
  </w:latentStyles>
  <w:style w:type="paragraph" w:default="1" w:styleId="Normal">
    <w:name w:val="Normal"/>
    <w:qFormat/>
    <w:rsid w:val="003628EB"/>
    <w:rPr>
      <w:rFonts w:ascii="Verdana" w:hAnsi="Verdana"/>
      <w:szCs w:val="22"/>
      <w:lang w:eastAsia="en-US"/>
    </w:rPr>
  </w:style>
  <w:style w:type="paragraph" w:styleId="Heading1">
    <w:name w:val="heading 1"/>
    <w:basedOn w:val="Normal"/>
    <w:next w:val="BodyText"/>
    <w:link w:val="Heading1Char"/>
    <w:uiPriority w:val="9"/>
    <w:qFormat/>
    <w:rsid w:val="003628EB"/>
    <w:pPr>
      <w:keepNext/>
      <w:keepLines/>
      <w:spacing w:after="165"/>
      <w:outlineLvl w:val="0"/>
    </w:pPr>
    <w:rPr>
      <w:rFonts w:ascii="Trebuchet MS" w:eastAsia="Times New Roman" w:hAnsi="Trebuchet MS"/>
      <w:b/>
      <w:bCs/>
      <w:color w:val="5D75A9" w:themeColor="accent2"/>
      <w:sz w:val="38"/>
      <w:szCs w:val="28"/>
    </w:rPr>
  </w:style>
  <w:style w:type="paragraph" w:styleId="Heading2">
    <w:name w:val="heading 2"/>
    <w:basedOn w:val="Heading1"/>
    <w:next w:val="BodyText"/>
    <w:link w:val="Heading2Char"/>
    <w:uiPriority w:val="9"/>
    <w:unhideWhenUsed/>
    <w:qFormat/>
    <w:rsid w:val="009620BC"/>
    <w:pPr>
      <w:numPr>
        <w:ilvl w:val="1"/>
      </w:numPr>
      <w:spacing w:before="165"/>
      <w:outlineLvl w:val="1"/>
    </w:pPr>
    <w:rPr>
      <w:b w:val="0"/>
      <w:bCs w:val="0"/>
      <w:sz w:val="26"/>
      <w:szCs w:val="26"/>
    </w:rPr>
  </w:style>
  <w:style w:type="paragraph" w:styleId="Heading3">
    <w:name w:val="heading 3"/>
    <w:basedOn w:val="Heading2"/>
    <w:next w:val="BodyText"/>
    <w:link w:val="Heading3Char"/>
    <w:uiPriority w:val="9"/>
    <w:unhideWhenUsed/>
    <w:qFormat/>
    <w:rsid w:val="003F5500"/>
    <w:pPr>
      <w:numPr>
        <w:ilvl w:val="0"/>
      </w:numPr>
      <w:spacing w:before="200" w:after="0"/>
      <w:outlineLvl w:val="2"/>
    </w:pPr>
    <w:rPr>
      <w:b/>
      <w:bCs/>
      <w:sz w:val="22"/>
    </w:rPr>
  </w:style>
  <w:style w:type="paragraph" w:styleId="Heading4">
    <w:name w:val="heading 4"/>
    <w:basedOn w:val="Heading3"/>
    <w:next w:val="BodyText"/>
    <w:link w:val="Heading4Char"/>
    <w:uiPriority w:val="9"/>
    <w:unhideWhenUsed/>
    <w:qFormat/>
    <w:rsid w:val="00FD69CD"/>
    <w:pPr>
      <w:outlineLvl w:val="3"/>
    </w:pPr>
    <w:rPr>
      <w:bCs w:val="0"/>
      <w:iCs/>
      <w:color w:val="auto"/>
      <w:sz w:val="20"/>
    </w:rPr>
  </w:style>
  <w:style w:type="paragraph" w:styleId="Heading5">
    <w:name w:val="heading 5"/>
    <w:basedOn w:val="Heading4"/>
    <w:next w:val="BodyText"/>
    <w:link w:val="Heading5Char"/>
    <w:uiPriority w:val="9"/>
    <w:unhideWhenUsed/>
    <w:qFormat/>
    <w:rsid w:val="003F5500"/>
    <w:pPr>
      <w:outlineLvl w:val="4"/>
    </w:pPr>
    <w:rPr>
      <w:b w:val="0"/>
      <w:i/>
    </w:rPr>
  </w:style>
  <w:style w:type="paragraph" w:styleId="Heading6">
    <w:name w:val="heading 6"/>
    <w:basedOn w:val="Normal"/>
    <w:next w:val="BodyText"/>
    <w:link w:val="Heading6Char"/>
    <w:uiPriority w:val="9"/>
    <w:semiHidden/>
    <w:qFormat/>
    <w:rsid w:val="00310652"/>
    <w:pPr>
      <w:keepNext/>
      <w:keepLines/>
      <w:spacing w:before="200"/>
      <w:outlineLvl w:val="5"/>
    </w:pPr>
    <w:rPr>
      <w:rFonts w:eastAsia="Times New Roman"/>
      <w:i/>
      <w:iCs/>
    </w:rPr>
  </w:style>
  <w:style w:type="paragraph" w:styleId="Heading7">
    <w:name w:val="heading 7"/>
    <w:basedOn w:val="Normal"/>
    <w:next w:val="Normal"/>
    <w:link w:val="Heading7Char"/>
    <w:uiPriority w:val="9"/>
    <w:semiHidden/>
    <w:rsid w:val="0088042D"/>
    <w:pPr>
      <w:keepNext/>
      <w:keepLines/>
      <w:spacing w:before="200"/>
      <w:outlineLvl w:val="6"/>
    </w:pPr>
    <w:rPr>
      <w:rFonts w:ascii="Cambria" w:eastAsia="Times New Roman"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946728"/>
    <w:pPr>
      <w:spacing w:after="165"/>
      <w:jc w:val="both"/>
    </w:pPr>
  </w:style>
  <w:style w:type="character" w:customStyle="1" w:styleId="BodyTextChar">
    <w:name w:val="Body Text Char"/>
    <w:link w:val="BodyText"/>
    <w:rsid w:val="00946728"/>
    <w:rPr>
      <w:rFonts w:ascii="Verdana" w:hAnsi="Verdana"/>
      <w:szCs w:val="22"/>
      <w:lang w:eastAsia="en-US"/>
    </w:rPr>
  </w:style>
  <w:style w:type="character" w:customStyle="1" w:styleId="Heading1Char">
    <w:name w:val="Heading 1 Char"/>
    <w:link w:val="Heading1"/>
    <w:uiPriority w:val="9"/>
    <w:rsid w:val="00D63019"/>
    <w:rPr>
      <w:rFonts w:ascii="Trebuchet MS" w:eastAsia="Times New Roman" w:hAnsi="Trebuchet MS"/>
      <w:b/>
      <w:bCs/>
      <w:color w:val="5D75A9" w:themeColor="accent2"/>
      <w:sz w:val="38"/>
      <w:szCs w:val="28"/>
      <w:lang w:eastAsia="en-US"/>
    </w:rPr>
  </w:style>
  <w:style w:type="character" w:customStyle="1" w:styleId="Heading2Char">
    <w:name w:val="Heading 2 Char"/>
    <w:link w:val="Heading2"/>
    <w:uiPriority w:val="9"/>
    <w:rsid w:val="009620BC"/>
    <w:rPr>
      <w:rFonts w:ascii="Trebuchet MS" w:eastAsia="Times New Roman" w:hAnsi="Trebuchet MS"/>
      <w:color w:val="5D75A9" w:themeColor="accent2"/>
      <w:sz w:val="26"/>
      <w:szCs w:val="26"/>
      <w:lang w:eastAsia="en-US"/>
    </w:rPr>
  </w:style>
  <w:style w:type="character" w:customStyle="1" w:styleId="Heading3Char">
    <w:name w:val="Heading 3 Char"/>
    <w:link w:val="Heading3"/>
    <w:uiPriority w:val="9"/>
    <w:rsid w:val="003F5500"/>
    <w:rPr>
      <w:rFonts w:ascii="Trebuchet MS" w:eastAsia="Times New Roman" w:hAnsi="Trebuchet MS"/>
      <w:b/>
      <w:bCs/>
      <w:color w:val="5D75A9" w:themeColor="accent2"/>
      <w:sz w:val="22"/>
      <w:szCs w:val="26"/>
      <w:lang w:eastAsia="en-US"/>
    </w:rPr>
  </w:style>
  <w:style w:type="character" w:customStyle="1" w:styleId="Heading4Char">
    <w:name w:val="Heading 4 Char"/>
    <w:link w:val="Heading4"/>
    <w:uiPriority w:val="9"/>
    <w:rsid w:val="00FD69CD"/>
    <w:rPr>
      <w:rFonts w:asciiTheme="majorHAnsi" w:eastAsia="Times New Roman" w:hAnsiTheme="majorHAnsi"/>
      <w:b/>
      <w:iCs/>
      <w:szCs w:val="26"/>
      <w:lang w:eastAsia="en-US"/>
    </w:rPr>
  </w:style>
  <w:style w:type="character" w:customStyle="1" w:styleId="Heading5Char">
    <w:name w:val="Heading 5 Char"/>
    <w:link w:val="Heading5"/>
    <w:uiPriority w:val="9"/>
    <w:rsid w:val="003F5500"/>
    <w:rPr>
      <w:rFonts w:ascii="Trebuchet MS" w:eastAsia="Times New Roman" w:hAnsi="Trebuchet MS"/>
      <w:i/>
      <w:iCs/>
      <w:szCs w:val="26"/>
      <w:lang w:eastAsia="en-US"/>
    </w:rPr>
  </w:style>
  <w:style w:type="character" w:customStyle="1" w:styleId="Heading6Char">
    <w:name w:val="Heading 6 Char"/>
    <w:link w:val="Heading6"/>
    <w:uiPriority w:val="9"/>
    <w:semiHidden/>
    <w:rsid w:val="00757B0B"/>
    <w:rPr>
      <w:rFonts w:ascii="Verdana" w:eastAsia="Times New Roman" w:hAnsi="Verdana"/>
      <w:i/>
      <w:iCs/>
      <w:szCs w:val="22"/>
      <w:lang w:eastAsia="en-US"/>
    </w:rPr>
  </w:style>
  <w:style w:type="paragraph" w:styleId="ListNumber">
    <w:name w:val="List Number"/>
    <w:basedOn w:val="Normal"/>
    <w:uiPriority w:val="99"/>
    <w:unhideWhenUsed/>
    <w:qFormat/>
    <w:rsid w:val="00757B0B"/>
    <w:pPr>
      <w:numPr>
        <w:numId w:val="23"/>
      </w:numPr>
      <w:jc w:val="both"/>
    </w:pPr>
  </w:style>
  <w:style w:type="paragraph" w:styleId="ListNumber2">
    <w:name w:val="List Number 2"/>
    <w:basedOn w:val="ListNumber"/>
    <w:uiPriority w:val="99"/>
    <w:unhideWhenUsed/>
    <w:qFormat/>
    <w:rsid w:val="00757B0B"/>
    <w:pPr>
      <w:numPr>
        <w:ilvl w:val="1"/>
      </w:numPr>
    </w:pPr>
  </w:style>
  <w:style w:type="paragraph" w:styleId="ListNumber3">
    <w:name w:val="List Number 3"/>
    <w:basedOn w:val="ListNumber2"/>
    <w:uiPriority w:val="99"/>
    <w:unhideWhenUsed/>
    <w:qFormat/>
    <w:rsid w:val="00757B0B"/>
    <w:pPr>
      <w:numPr>
        <w:ilvl w:val="2"/>
      </w:numPr>
    </w:pPr>
  </w:style>
  <w:style w:type="paragraph" w:styleId="ListContinue">
    <w:name w:val="List Continue"/>
    <w:basedOn w:val="Normal"/>
    <w:uiPriority w:val="99"/>
    <w:unhideWhenUsed/>
    <w:qFormat/>
    <w:rsid w:val="00371218"/>
    <w:pPr>
      <w:ind w:left="567" w:right="567"/>
      <w:jc w:val="both"/>
    </w:pPr>
  </w:style>
  <w:style w:type="paragraph" w:styleId="ListContinue2">
    <w:name w:val="List Continue 2"/>
    <w:basedOn w:val="Normal"/>
    <w:uiPriority w:val="99"/>
    <w:unhideWhenUsed/>
    <w:qFormat/>
    <w:rsid w:val="00371218"/>
    <w:pPr>
      <w:ind w:left="851" w:right="567"/>
      <w:jc w:val="both"/>
    </w:pPr>
  </w:style>
  <w:style w:type="paragraph" w:styleId="ListContinue3">
    <w:name w:val="List Continue 3"/>
    <w:basedOn w:val="Normal"/>
    <w:uiPriority w:val="99"/>
    <w:unhideWhenUsed/>
    <w:qFormat/>
    <w:rsid w:val="00371218"/>
    <w:pPr>
      <w:ind w:left="1134" w:right="567"/>
      <w:jc w:val="both"/>
    </w:pPr>
  </w:style>
  <w:style w:type="paragraph" w:styleId="ListBullet">
    <w:name w:val="List Bullet"/>
    <w:basedOn w:val="Normal"/>
    <w:uiPriority w:val="99"/>
    <w:unhideWhenUsed/>
    <w:qFormat/>
    <w:rsid w:val="00757B0B"/>
    <w:pPr>
      <w:numPr>
        <w:numId w:val="19"/>
      </w:numPr>
      <w:ind w:right="567"/>
      <w:jc w:val="both"/>
    </w:pPr>
  </w:style>
  <w:style w:type="paragraph" w:styleId="ListBullet2">
    <w:name w:val="List Bullet 2"/>
    <w:basedOn w:val="ListBullet"/>
    <w:uiPriority w:val="99"/>
    <w:unhideWhenUsed/>
    <w:qFormat/>
    <w:rsid w:val="00757B0B"/>
    <w:pPr>
      <w:numPr>
        <w:ilvl w:val="1"/>
      </w:numPr>
      <w:spacing w:line="240" w:lineRule="atLeast"/>
    </w:pPr>
  </w:style>
  <w:style w:type="character" w:customStyle="1" w:styleId="Heading7Char">
    <w:name w:val="Heading 7 Char"/>
    <w:link w:val="Heading7"/>
    <w:uiPriority w:val="9"/>
    <w:semiHidden/>
    <w:rsid w:val="0088042D"/>
    <w:rPr>
      <w:rFonts w:eastAsia="Times New Roman" w:cs="Times New Roman"/>
      <w:i/>
      <w:iCs/>
      <w:color w:val="404040"/>
    </w:rPr>
  </w:style>
  <w:style w:type="paragraph" w:styleId="Footer">
    <w:name w:val="footer"/>
    <w:basedOn w:val="Normal"/>
    <w:link w:val="FooterChar"/>
    <w:uiPriority w:val="99"/>
    <w:unhideWhenUsed/>
    <w:rsid w:val="00F50092"/>
    <w:pPr>
      <w:tabs>
        <w:tab w:val="center" w:pos="4680"/>
        <w:tab w:val="right" w:pos="9360"/>
      </w:tabs>
      <w:jc w:val="center"/>
    </w:pPr>
    <w:rPr>
      <w:rFonts w:ascii="Trebuchet MS" w:hAnsi="Trebuchet MS"/>
      <w:color w:val="1E407B" w:themeColor="accent1"/>
      <w:sz w:val="18"/>
    </w:rPr>
  </w:style>
  <w:style w:type="character" w:customStyle="1" w:styleId="FooterChar">
    <w:name w:val="Footer Char"/>
    <w:link w:val="Footer"/>
    <w:uiPriority w:val="99"/>
    <w:rsid w:val="00F50092"/>
    <w:rPr>
      <w:rFonts w:ascii="Trebuchet MS" w:hAnsi="Trebuchet MS"/>
      <w:color w:val="1E407B" w:themeColor="accent1"/>
      <w:sz w:val="18"/>
      <w:szCs w:val="22"/>
      <w:lang w:eastAsia="en-US"/>
    </w:rPr>
  </w:style>
  <w:style w:type="paragraph" w:styleId="Header">
    <w:name w:val="header"/>
    <w:basedOn w:val="Normal"/>
    <w:link w:val="HeaderChar"/>
    <w:uiPriority w:val="99"/>
    <w:unhideWhenUsed/>
    <w:rsid w:val="00EE326C"/>
    <w:pPr>
      <w:tabs>
        <w:tab w:val="center" w:pos="4680"/>
        <w:tab w:val="right" w:pos="9360"/>
      </w:tabs>
      <w:ind w:right="-595"/>
      <w:jc w:val="right"/>
    </w:pPr>
    <w:rPr>
      <w:rFonts w:ascii="Trebuchet MS" w:hAnsi="Trebuchet MS"/>
      <w:b/>
      <w:color w:val="1E407B" w:themeColor="accent1"/>
      <w:sz w:val="16"/>
    </w:rPr>
  </w:style>
  <w:style w:type="character" w:customStyle="1" w:styleId="HeaderChar">
    <w:name w:val="Header Char"/>
    <w:link w:val="Header"/>
    <w:uiPriority w:val="99"/>
    <w:rsid w:val="00EE326C"/>
    <w:rPr>
      <w:rFonts w:ascii="Trebuchet MS" w:hAnsi="Trebuchet MS"/>
      <w:b/>
      <w:color w:val="1E407B" w:themeColor="accent1"/>
      <w:sz w:val="16"/>
      <w:szCs w:val="22"/>
      <w:lang w:eastAsia="en-US"/>
    </w:rPr>
  </w:style>
  <w:style w:type="character" w:styleId="PageNumber">
    <w:name w:val="page number"/>
    <w:uiPriority w:val="99"/>
    <w:semiHidden/>
    <w:unhideWhenUsed/>
    <w:rsid w:val="00F16BDE"/>
    <w:rPr>
      <w:rFonts w:ascii="Arial" w:hAnsi="Arial"/>
      <w:sz w:val="20"/>
    </w:rPr>
  </w:style>
  <w:style w:type="paragraph" w:styleId="Title">
    <w:name w:val="Title"/>
    <w:basedOn w:val="Normal"/>
    <w:next w:val="Normal"/>
    <w:link w:val="TitleChar"/>
    <w:uiPriority w:val="10"/>
    <w:qFormat/>
    <w:rsid w:val="00946728"/>
    <w:pPr>
      <w:spacing w:after="567"/>
      <w:jc w:val="right"/>
    </w:pPr>
    <w:rPr>
      <w:rFonts w:ascii="Trebuchet MS" w:eastAsia="Times New Roman" w:hAnsi="Trebuchet MS"/>
      <w:b/>
      <w:color w:val="5D75A9" w:themeColor="accent2"/>
      <w:kern w:val="28"/>
      <w:sz w:val="60"/>
      <w:szCs w:val="52"/>
    </w:rPr>
  </w:style>
  <w:style w:type="character" w:customStyle="1" w:styleId="TitleChar">
    <w:name w:val="Title Char"/>
    <w:link w:val="Title"/>
    <w:uiPriority w:val="10"/>
    <w:rsid w:val="00946728"/>
    <w:rPr>
      <w:rFonts w:ascii="Trebuchet MS" w:eastAsia="Times New Roman" w:hAnsi="Trebuchet MS"/>
      <w:b/>
      <w:color w:val="5D75A9" w:themeColor="accent2"/>
      <w:kern w:val="28"/>
      <w:sz w:val="60"/>
      <w:szCs w:val="52"/>
      <w:lang w:eastAsia="en-US"/>
    </w:rPr>
  </w:style>
  <w:style w:type="paragraph" w:styleId="Subtitle">
    <w:name w:val="Subtitle"/>
    <w:basedOn w:val="Title"/>
    <w:next w:val="Normal"/>
    <w:link w:val="SubtitleChar"/>
    <w:uiPriority w:val="11"/>
    <w:qFormat/>
    <w:rsid w:val="00946728"/>
    <w:pPr>
      <w:numPr>
        <w:ilvl w:val="1"/>
      </w:numPr>
      <w:spacing w:after="0"/>
    </w:pPr>
    <w:rPr>
      <w:b w:val="0"/>
      <w:iCs/>
      <w:sz w:val="40"/>
      <w:szCs w:val="24"/>
    </w:rPr>
  </w:style>
  <w:style w:type="character" w:customStyle="1" w:styleId="SubtitleChar">
    <w:name w:val="Subtitle Char"/>
    <w:link w:val="Subtitle"/>
    <w:uiPriority w:val="11"/>
    <w:rsid w:val="00946728"/>
    <w:rPr>
      <w:rFonts w:ascii="Trebuchet MS" w:eastAsia="Times New Roman" w:hAnsi="Trebuchet MS"/>
      <w:iCs/>
      <w:color w:val="5D75A9" w:themeColor="accent2"/>
      <w:kern w:val="28"/>
      <w:sz w:val="40"/>
      <w:szCs w:val="24"/>
      <w:lang w:eastAsia="en-US"/>
    </w:rPr>
  </w:style>
  <w:style w:type="paragraph" w:styleId="TOC1">
    <w:name w:val="toc 1"/>
    <w:basedOn w:val="Normal"/>
    <w:next w:val="Normal"/>
    <w:uiPriority w:val="39"/>
    <w:unhideWhenUsed/>
    <w:rsid w:val="00EE326C"/>
    <w:pPr>
      <w:tabs>
        <w:tab w:val="left" w:pos="1021"/>
        <w:tab w:val="right" w:pos="9639"/>
      </w:tabs>
    </w:pPr>
    <w:rPr>
      <w:b/>
    </w:rPr>
  </w:style>
  <w:style w:type="paragraph" w:styleId="TOC2">
    <w:name w:val="toc 2"/>
    <w:basedOn w:val="Normal"/>
    <w:next w:val="Normal"/>
    <w:uiPriority w:val="39"/>
    <w:unhideWhenUsed/>
    <w:rsid w:val="00EE326C"/>
    <w:pPr>
      <w:tabs>
        <w:tab w:val="left" w:pos="1021"/>
        <w:tab w:val="right" w:pos="9639"/>
      </w:tabs>
    </w:pPr>
  </w:style>
  <w:style w:type="paragraph" w:styleId="TOC3">
    <w:name w:val="toc 3"/>
    <w:basedOn w:val="Normal"/>
    <w:next w:val="Normal"/>
    <w:uiPriority w:val="39"/>
    <w:unhideWhenUsed/>
    <w:rsid w:val="00EE326C"/>
    <w:pPr>
      <w:tabs>
        <w:tab w:val="right" w:pos="9639"/>
      </w:tabs>
      <w:spacing w:before="330" w:after="330"/>
      <w:ind w:left="1021"/>
      <w:contextualSpacing/>
    </w:pPr>
    <w:rPr>
      <w:b/>
    </w:rPr>
  </w:style>
  <w:style w:type="table" w:customStyle="1" w:styleId="Blank">
    <w:name w:val="Blank"/>
    <w:basedOn w:val="TableNormal"/>
    <w:uiPriority w:val="99"/>
    <w:rsid w:val="001A761C"/>
    <w:tblPr>
      <w:tblInd w:w="0" w:type="dxa"/>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664562"/>
    <w:rPr>
      <w:rFonts w:ascii="Tahoma" w:hAnsi="Tahoma" w:cs="Tahoma"/>
      <w:sz w:val="16"/>
      <w:szCs w:val="16"/>
    </w:rPr>
  </w:style>
  <w:style w:type="character" w:customStyle="1" w:styleId="BalloonTextChar">
    <w:name w:val="Balloon Text Char"/>
    <w:basedOn w:val="DefaultParagraphFont"/>
    <w:link w:val="BalloonText"/>
    <w:uiPriority w:val="99"/>
    <w:semiHidden/>
    <w:rsid w:val="00664562"/>
    <w:rPr>
      <w:rFonts w:ascii="Tahoma" w:hAnsi="Tahoma" w:cs="Tahoma"/>
      <w:sz w:val="16"/>
      <w:szCs w:val="16"/>
      <w:lang w:eastAsia="en-US"/>
    </w:rPr>
  </w:style>
  <w:style w:type="table" w:styleId="TableGrid">
    <w:name w:val="Table Grid"/>
    <w:basedOn w:val="TableNormal"/>
    <w:uiPriority w:val="59"/>
    <w:rsid w:val="00C325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uthor">
    <w:name w:val="Author"/>
    <w:basedOn w:val="Normal"/>
    <w:qFormat/>
    <w:rsid w:val="00AE5156"/>
    <w:pPr>
      <w:spacing w:after="170"/>
      <w:jc w:val="right"/>
    </w:pPr>
    <w:rPr>
      <w:rFonts w:ascii="Trebuchet MS" w:hAnsi="Trebuchet MS"/>
      <w:sz w:val="32"/>
    </w:rPr>
  </w:style>
  <w:style w:type="character" w:styleId="Hyperlink">
    <w:name w:val="Hyperlink"/>
    <w:basedOn w:val="DefaultParagraphFont"/>
    <w:uiPriority w:val="99"/>
    <w:unhideWhenUsed/>
    <w:rsid w:val="00946728"/>
    <w:rPr>
      <w:color w:val="0000FF"/>
      <w:u w:val="single"/>
    </w:rPr>
  </w:style>
  <w:style w:type="character" w:styleId="FollowedHyperlink">
    <w:name w:val="FollowedHyperlink"/>
    <w:basedOn w:val="DefaultParagraphFont"/>
    <w:uiPriority w:val="99"/>
    <w:semiHidden/>
    <w:unhideWhenUsed/>
    <w:rsid w:val="00946728"/>
    <w:rPr>
      <w:color w:val="800080"/>
      <w:u w:val="single"/>
    </w:rPr>
  </w:style>
  <w:style w:type="paragraph" w:customStyle="1" w:styleId="Status">
    <w:name w:val="Status"/>
    <w:basedOn w:val="Normal"/>
    <w:qFormat/>
    <w:rsid w:val="003E012B"/>
    <w:pPr>
      <w:jc w:val="right"/>
    </w:pPr>
    <w:rPr>
      <w:rFonts w:ascii="Trebuchet MS" w:hAnsi="Trebuchet MS"/>
      <w:b/>
      <w:color w:val="E1E2E3"/>
      <w:sz w:val="72"/>
    </w:rPr>
  </w:style>
  <w:style w:type="paragraph" w:styleId="Date">
    <w:name w:val="Date"/>
    <w:basedOn w:val="Normal"/>
    <w:next w:val="Normal"/>
    <w:link w:val="DateChar"/>
    <w:uiPriority w:val="99"/>
    <w:rsid w:val="00457F88"/>
    <w:pPr>
      <w:spacing w:after="737"/>
      <w:jc w:val="right"/>
    </w:pPr>
    <w:rPr>
      <w:rFonts w:ascii="Trebuchet MS" w:hAnsi="Trebuchet MS"/>
      <w:sz w:val="28"/>
    </w:rPr>
  </w:style>
  <w:style w:type="character" w:customStyle="1" w:styleId="DateChar">
    <w:name w:val="Date Char"/>
    <w:basedOn w:val="DefaultParagraphFont"/>
    <w:link w:val="Date"/>
    <w:uiPriority w:val="99"/>
    <w:rsid w:val="00457F88"/>
    <w:rPr>
      <w:rFonts w:ascii="Trebuchet MS" w:hAnsi="Trebuchet MS"/>
      <w:sz w:val="28"/>
      <w:szCs w:val="22"/>
      <w:lang w:eastAsia="en-US"/>
    </w:rPr>
  </w:style>
  <w:style w:type="numbering" w:customStyle="1" w:styleId="ODIHeadings">
    <w:name w:val="ODI Headings"/>
    <w:basedOn w:val="NoList"/>
    <w:uiPriority w:val="99"/>
    <w:rsid w:val="003628EB"/>
    <w:pPr>
      <w:numPr>
        <w:numId w:val="14"/>
      </w:numPr>
    </w:pPr>
  </w:style>
  <w:style w:type="paragraph" w:customStyle="1" w:styleId="PrelimHeading">
    <w:name w:val="Prelim Heading"/>
    <w:basedOn w:val="Heading1"/>
    <w:next w:val="BodyText"/>
    <w:qFormat/>
    <w:rsid w:val="005E037A"/>
    <w:pPr>
      <w:spacing w:after="330"/>
    </w:pPr>
  </w:style>
  <w:style w:type="paragraph" w:customStyle="1" w:styleId="Contact">
    <w:name w:val="Contact"/>
    <w:basedOn w:val="Normal"/>
    <w:qFormat/>
    <w:rsid w:val="00AD0B21"/>
  </w:style>
  <w:style w:type="paragraph" w:customStyle="1" w:styleId="PrelimHeadingNoTOC">
    <w:name w:val="Prelim Heading No TOC"/>
    <w:basedOn w:val="PrelimHeading"/>
    <w:next w:val="BodyText"/>
    <w:qFormat/>
    <w:rsid w:val="00B1497C"/>
  </w:style>
  <w:style w:type="paragraph" w:customStyle="1" w:styleId="HeaderEven">
    <w:name w:val="Header Even"/>
    <w:basedOn w:val="Header"/>
    <w:qFormat/>
    <w:rsid w:val="00EE4860"/>
    <w:pPr>
      <w:ind w:left="-595" w:right="0"/>
      <w:jc w:val="left"/>
    </w:pPr>
  </w:style>
  <w:style w:type="paragraph" w:customStyle="1" w:styleId="TableHeading">
    <w:name w:val="Table Heading"/>
    <w:basedOn w:val="Normal"/>
    <w:next w:val="BodyText"/>
    <w:qFormat/>
    <w:rsid w:val="0030797E"/>
    <w:pPr>
      <w:numPr>
        <w:numId w:val="16"/>
      </w:numPr>
      <w:spacing w:after="165"/>
      <w:ind w:left="0" w:firstLine="0"/>
    </w:pPr>
    <w:rPr>
      <w:rFonts w:ascii="Trebuchet MS" w:hAnsi="Trebuchet MS"/>
      <w:b/>
      <w:color w:val="1E407B" w:themeColor="accent1"/>
      <w:sz w:val="24"/>
    </w:rPr>
  </w:style>
  <w:style w:type="numbering" w:customStyle="1" w:styleId="ODITableHeadings">
    <w:name w:val="ODI Table Headings"/>
    <w:basedOn w:val="NoList"/>
    <w:uiPriority w:val="99"/>
    <w:rsid w:val="00457F88"/>
    <w:pPr>
      <w:numPr>
        <w:numId w:val="16"/>
      </w:numPr>
    </w:pPr>
  </w:style>
  <w:style w:type="paragraph" w:customStyle="1" w:styleId="FigureHeading">
    <w:name w:val="Figure Heading"/>
    <w:basedOn w:val="Normal"/>
    <w:next w:val="BodyText"/>
    <w:qFormat/>
    <w:rsid w:val="0030797E"/>
    <w:pPr>
      <w:numPr>
        <w:numId w:val="17"/>
      </w:numPr>
      <w:spacing w:after="165"/>
      <w:ind w:left="0" w:firstLine="0"/>
    </w:pPr>
    <w:rPr>
      <w:rFonts w:ascii="Trebuchet MS" w:hAnsi="Trebuchet MS"/>
      <w:b/>
      <w:color w:val="1E407B" w:themeColor="accent1"/>
      <w:sz w:val="24"/>
    </w:rPr>
  </w:style>
  <w:style w:type="numbering" w:customStyle="1" w:styleId="ODIFigureHeadings">
    <w:name w:val="ODI Figure Headings"/>
    <w:basedOn w:val="NoList"/>
    <w:uiPriority w:val="99"/>
    <w:rsid w:val="00484325"/>
    <w:pPr>
      <w:numPr>
        <w:numId w:val="17"/>
      </w:numPr>
    </w:pPr>
  </w:style>
  <w:style w:type="paragraph" w:customStyle="1" w:styleId="BoxHeading">
    <w:name w:val="Box Heading"/>
    <w:basedOn w:val="Normal"/>
    <w:next w:val="BodyText"/>
    <w:qFormat/>
    <w:rsid w:val="0030797E"/>
    <w:pPr>
      <w:numPr>
        <w:numId w:val="18"/>
      </w:numPr>
      <w:spacing w:after="120"/>
      <w:ind w:left="0" w:firstLine="0"/>
    </w:pPr>
    <w:rPr>
      <w:rFonts w:ascii="Trebuchet MS" w:hAnsi="Trebuchet MS"/>
      <w:b/>
      <w:color w:val="1E407B" w:themeColor="accent1"/>
      <w:sz w:val="24"/>
    </w:rPr>
  </w:style>
  <w:style w:type="numbering" w:customStyle="1" w:styleId="ODIBoxHeadings">
    <w:name w:val="ODI Box Headings"/>
    <w:basedOn w:val="NoList"/>
    <w:uiPriority w:val="99"/>
    <w:rsid w:val="000D3120"/>
    <w:pPr>
      <w:numPr>
        <w:numId w:val="18"/>
      </w:numPr>
    </w:pPr>
  </w:style>
  <w:style w:type="paragraph" w:customStyle="1" w:styleId="Abbreviation">
    <w:name w:val="Abbreviation"/>
    <w:basedOn w:val="Normal"/>
    <w:qFormat/>
    <w:rsid w:val="00C2422C"/>
    <w:rPr>
      <w:color w:val="1E407B" w:themeColor="accent1"/>
    </w:rPr>
  </w:style>
  <w:style w:type="paragraph" w:styleId="TOCHeading">
    <w:name w:val="TOC Heading"/>
    <w:basedOn w:val="Heading1"/>
    <w:next w:val="Normal"/>
    <w:uiPriority w:val="39"/>
    <w:qFormat/>
    <w:rsid w:val="00C2422C"/>
    <w:pPr>
      <w:spacing w:before="165"/>
      <w:outlineLvl w:val="9"/>
    </w:pPr>
    <w:rPr>
      <w:rFonts w:ascii="Verdana" w:eastAsiaTheme="majorEastAsia" w:hAnsi="Verdana" w:cstheme="majorBidi"/>
      <w:color w:val="1E407B" w:themeColor="accent1"/>
      <w:sz w:val="20"/>
    </w:rPr>
  </w:style>
  <w:style w:type="paragraph" w:styleId="FootnoteText">
    <w:name w:val="footnote text"/>
    <w:basedOn w:val="Normal"/>
    <w:link w:val="FootnoteTextChar"/>
    <w:uiPriority w:val="99"/>
    <w:qFormat/>
    <w:rsid w:val="00BF137D"/>
    <w:rPr>
      <w:sz w:val="16"/>
      <w:szCs w:val="20"/>
    </w:rPr>
  </w:style>
  <w:style w:type="character" w:customStyle="1" w:styleId="FootnoteTextChar">
    <w:name w:val="Footnote Text Char"/>
    <w:basedOn w:val="DefaultParagraphFont"/>
    <w:link w:val="FootnoteText"/>
    <w:uiPriority w:val="99"/>
    <w:rsid w:val="00BF137D"/>
    <w:rPr>
      <w:rFonts w:ascii="Verdana" w:hAnsi="Verdana"/>
      <w:sz w:val="16"/>
      <w:lang w:eastAsia="en-US"/>
    </w:rPr>
  </w:style>
  <w:style w:type="character" w:styleId="FootnoteReference">
    <w:name w:val="footnote reference"/>
    <w:basedOn w:val="DefaultParagraphFont"/>
    <w:uiPriority w:val="99"/>
    <w:qFormat/>
    <w:rsid w:val="00F1337E"/>
    <w:rPr>
      <w:rFonts w:ascii="Verdana" w:hAnsi="Verdana"/>
      <w:sz w:val="20"/>
      <w:vertAlign w:val="superscript"/>
    </w:rPr>
  </w:style>
  <w:style w:type="numbering" w:customStyle="1" w:styleId="ODIBullets">
    <w:name w:val="ODI Bullets"/>
    <w:basedOn w:val="NoList"/>
    <w:uiPriority w:val="99"/>
    <w:rsid w:val="00757B0B"/>
    <w:pPr>
      <w:numPr>
        <w:numId w:val="19"/>
      </w:numPr>
    </w:pPr>
  </w:style>
  <w:style w:type="paragraph" w:customStyle="1" w:styleId="LastBullet">
    <w:name w:val="Last Bullet"/>
    <w:basedOn w:val="ListBullet"/>
    <w:next w:val="BodyText"/>
    <w:qFormat/>
    <w:rsid w:val="0082160C"/>
    <w:pPr>
      <w:numPr>
        <w:numId w:val="20"/>
      </w:numPr>
      <w:spacing w:after="165"/>
    </w:pPr>
  </w:style>
  <w:style w:type="numbering" w:customStyle="1" w:styleId="ODILastBullet">
    <w:name w:val="ODI Last Bullet"/>
    <w:basedOn w:val="ODIBullets"/>
    <w:uiPriority w:val="99"/>
    <w:rsid w:val="0082160C"/>
    <w:pPr>
      <w:numPr>
        <w:numId w:val="20"/>
      </w:numPr>
    </w:pPr>
  </w:style>
  <w:style w:type="table" w:customStyle="1" w:styleId="ODITable">
    <w:name w:val="ODI Table"/>
    <w:basedOn w:val="TableNormal"/>
    <w:uiPriority w:val="99"/>
    <w:rsid w:val="009F1A46"/>
    <w:rPr>
      <w:rFonts w:ascii="Verdana" w:hAnsi="Verdana"/>
      <w:sz w:val="16"/>
    </w:rPr>
    <w:tblPr>
      <w:tblStyleRowBandSize w:val="1"/>
      <w:tblInd w:w="113" w:type="dxa"/>
      <w:tblCellMar>
        <w:top w:w="113" w:type="dxa"/>
        <w:left w:w="108" w:type="dxa"/>
        <w:bottom w:w="113" w:type="dxa"/>
        <w:right w:w="108" w:type="dxa"/>
      </w:tblCellMar>
    </w:tblPr>
    <w:tblStylePr w:type="firstRow">
      <w:rPr>
        <w:rFonts w:ascii="Trebuchet MS" w:hAnsi="Trebuchet MS"/>
        <w:b/>
        <w:color w:val="FFFFFF" w:themeColor="background1"/>
      </w:rPr>
      <w:tblPr/>
      <w:tcPr>
        <w:shd w:val="clear" w:color="auto" w:fill="8998C1" w:themeFill="accent3"/>
      </w:tcPr>
    </w:tblStylePr>
    <w:tblStylePr w:type="band1Horz">
      <w:rPr>
        <w:rFonts w:ascii="Verdana" w:hAnsi="Verdana"/>
        <w:sz w:val="16"/>
      </w:rPr>
      <w:tblPr/>
      <w:tcPr>
        <w:shd w:val="clear" w:color="auto" w:fill="FFFFFF" w:themeFill="background1"/>
      </w:tcPr>
    </w:tblStylePr>
    <w:tblStylePr w:type="band2Horz">
      <w:rPr>
        <w:rFonts w:ascii="Verdana" w:hAnsi="Verdana"/>
        <w:sz w:val="16"/>
      </w:rPr>
      <w:tblPr/>
      <w:tcPr>
        <w:shd w:val="clear" w:color="auto" w:fill="BBC3DC" w:themeFill="accent4"/>
      </w:tcPr>
    </w:tblStylePr>
  </w:style>
  <w:style w:type="paragraph" w:customStyle="1" w:styleId="TableText">
    <w:name w:val="Table Text"/>
    <w:basedOn w:val="Normal"/>
    <w:qFormat/>
    <w:rsid w:val="00BC1A2F"/>
    <w:rPr>
      <w:sz w:val="16"/>
    </w:rPr>
  </w:style>
  <w:style w:type="paragraph" w:customStyle="1" w:styleId="ColumnHeading">
    <w:name w:val="Column Heading"/>
    <w:basedOn w:val="Normal"/>
    <w:next w:val="TableText"/>
    <w:qFormat/>
    <w:rsid w:val="00BC1A2F"/>
    <w:rPr>
      <w:rFonts w:ascii="Trebuchet MS" w:hAnsi="Trebuchet MS"/>
      <w:b/>
      <w:color w:val="FFFFFF" w:themeColor="background1"/>
      <w:sz w:val="18"/>
    </w:rPr>
  </w:style>
  <w:style w:type="paragraph" w:customStyle="1" w:styleId="TableBullet">
    <w:name w:val="Table Bullet"/>
    <w:basedOn w:val="TableText"/>
    <w:qFormat/>
    <w:rsid w:val="00BC1A2F"/>
    <w:pPr>
      <w:numPr>
        <w:numId w:val="21"/>
      </w:numPr>
    </w:pPr>
  </w:style>
  <w:style w:type="numbering" w:customStyle="1" w:styleId="ODITableBullet">
    <w:name w:val="ODI Table Bullet"/>
    <w:basedOn w:val="NoList"/>
    <w:uiPriority w:val="99"/>
    <w:rsid w:val="00BC1A2F"/>
    <w:pPr>
      <w:numPr>
        <w:numId w:val="21"/>
      </w:numPr>
    </w:pPr>
  </w:style>
  <w:style w:type="paragraph" w:customStyle="1" w:styleId="Source">
    <w:name w:val="Source"/>
    <w:basedOn w:val="Normal"/>
    <w:qFormat/>
    <w:rsid w:val="00DE6F6D"/>
    <w:pPr>
      <w:spacing w:before="227" w:after="165"/>
      <w:jc w:val="both"/>
    </w:pPr>
    <w:rPr>
      <w:color w:val="1E407B" w:themeColor="accent1"/>
      <w:sz w:val="14"/>
    </w:rPr>
  </w:style>
  <w:style w:type="paragraph" w:customStyle="1" w:styleId="BoxText">
    <w:name w:val="Box Text"/>
    <w:basedOn w:val="Normal"/>
    <w:qFormat/>
    <w:rsid w:val="00617000"/>
    <w:pPr>
      <w:spacing w:after="135"/>
      <w:jc w:val="both"/>
    </w:pPr>
    <w:rPr>
      <w:color w:val="1E407B" w:themeColor="accent1"/>
      <w:sz w:val="18"/>
    </w:rPr>
  </w:style>
  <w:style w:type="table" w:customStyle="1" w:styleId="ODIBox">
    <w:name w:val="ODI Box"/>
    <w:basedOn w:val="TableNormal"/>
    <w:uiPriority w:val="99"/>
    <w:rsid w:val="00617000"/>
    <w:rPr>
      <w:rFonts w:ascii="Verdana" w:hAnsi="Verdana"/>
      <w:color w:val="1E407B" w:themeColor="accent1"/>
      <w:sz w:val="18"/>
    </w:rPr>
    <w:tblPr>
      <w:tblInd w:w="113" w:type="dxa"/>
      <w:tblBorders>
        <w:top w:val="single" w:sz="4" w:space="0" w:color="1E407B" w:themeColor="accent1"/>
        <w:left w:val="single" w:sz="4" w:space="0" w:color="1E407B" w:themeColor="accent1"/>
        <w:bottom w:val="single" w:sz="4" w:space="0" w:color="1E407B" w:themeColor="accent1"/>
        <w:right w:val="single" w:sz="4" w:space="0" w:color="1E407B" w:themeColor="accent1"/>
      </w:tblBorders>
      <w:tblCellMar>
        <w:top w:w="113" w:type="dxa"/>
        <w:left w:w="108" w:type="dxa"/>
        <w:bottom w:w="113" w:type="dxa"/>
        <w:right w:w="108" w:type="dxa"/>
      </w:tblCellMar>
    </w:tblPr>
    <w:tcPr>
      <w:shd w:val="clear" w:color="auto" w:fill="auto"/>
    </w:tcPr>
  </w:style>
  <w:style w:type="paragraph" w:customStyle="1" w:styleId="BoxBullet">
    <w:name w:val="Box Bullet"/>
    <w:basedOn w:val="BoxText"/>
    <w:qFormat/>
    <w:rsid w:val="00470867"/>
    <w:pPr>
      <w:numPr>
        <w:numId w:val="22"/>
      </w:numPr>
      <w:spacing w:after="0"/>
      <w:ind w:left="568" w:right="284" w:hanging="284"/>
    </w:pPr>
  </w:style>
  <w:style w:type="numbering" w:customStyle="1" w:styleId="ODIBoxBullet">
    <w:name w:val="ODI Box Bullet"/>
    <w:basedOn w:val="NoList"/>
    <w:uiPriority w:val="99"/>
    <w:rsid w:val="00705562"/>
    <w:pPr>
      <w:numPr>
        <w:numId w:val="22"/>
      </w:numPr>
    </w:pPr>
  </w:style>
  <w:style w:type="numbering" w:customStyle="1" w:styleId="ODINumberedList">
    <w:name w:val="ODI Numbered List"/>
    <w:basedOn w:val="NoList"/>
    <w:uiPriority w:val="99"/>
    <w:rsid w:val="00757B0B"/>
    <w:pPr>
      <w:numPr>
        <w:numId w:val="23"/>
      </w:numPr>
    </w:pPr>
  </w:style>
  <w:style w:type="paragraph" w:customStyle="1" w:styleId="QuoteSource">
    <w:name w:val="Quote Source"/>
    <w:basedOn w:val="Normal"/>
    <w:next w:val="BodyText"/>
    <w:qFormat/>
    <w:rsid w:val="00470867"/>
    <w:pPr>
      <w:spacing w:after="165"/>
      <w:ind w:left="567" w:right="567"/>
    </w:pPr>
    <w:rPr>
      <w:sz w:val="14"/>
    </w:rPr>
  </w:style>
  <w:style w:type="paragraph" w:styleId="Quote">
    <w:name w:val="Quote"/>
    <w:basedOn w:val="Normal"/>
    <w:next w:val="QuoteSource"/>
    <w:link w:val="QuoteChar"/>
    <w:uiPriority w:val="29"/>
    <w:rsid w:val="00470867"/>
    <w:pPr>
      <w:ind w:left="567" w:right="567"/>
      <w:jc w:val="both"/>
    </w:pPr>
    <w:rPr>
      <w:i/>
      <w:iCs/>
    </w:rPr>
  </w:style>
  <w:style w:type="character" w:customStyle="1" w:styleId="QuoteChar">
    <w:name w:val="Quote Char"/>
    <w:basedOn w:val="DefaultParagraphFont"/>
    <w:link w:val="Quote"/>
    <w:uiPriority w:val="29"/>
    <w:rsid w:val="00470867"/>
    <w:rPr>
      <w:rFonts w:ascii="Verdana" w:hAnsi="Verdana"/>
      <w:i/>
      <w:iCs/>
      <w:szCs w:val="22"/>
      <w:lang w:eastAsia="en-US"/>
    </w:rPr>
  </w:style>
  <w:style w:type="paragraph" w:customStyle="1" w:styleId="ReferenceText">
    <w:name w:val="Reference Text"/>
    <w:basedOn w:val="Normal"/>
    <w:qFormat/>
    <w:rsid w:val="005B0344"/>
    <w:pPr>
      <w:spacing w:after="180"/>
      <w:ind w:left="567" w:hanging="567"/>
      <w:jc w:val="both"/>
    </w:pPr>
    <w:rPr>
      <w:sz w:val="16"/>
    </w:rPr>
  </w:style>
  <w:style w:type="paragraph" w:customStyle="1" w:styleId="AppendixText">
    <w:name w:val="Appendix Text"/>
    <w:basedOn w:val="Normal"/>
    <w:qFormat/>
    <w:rsid w:val="00B851CA"/>
    <w:pPr>
      <w:spacing w:after="120"/>
      <w:jc w:val="both"/>
    </w:pPr>
    <w:rPr>
      <w:sz w:val="16"/>
    </w:rPr>
  </w:style>
  <w:style w:type="paragraph" w:customStyle="1" w:styleId="BodyTextNoSpacing">
    <w:name w:val="Body Text No Spacing"/>
    <w:basedOn w:val="BodyText"/>
    <w:qFormat/>
    <w:rsid w:val="0021269B"/>
    <w:pPr>
      <w:spacing w:after="0"/>
    </w:pPr>
  </w:style>
  <w:style w:type="paragraph" w:customStyle="1" w:styleId="SourceNoSpace">
    <w:name w:val="Source No Space"/>
    <w:basedOn w:val="Source"/>
    <w:next w:val="Normal"/>
    <w:qFormat/>
    <w:rsid w:val="005F4244"/>
    <w:pPr>
      <w:spacing w:after="0"/>
    </w:pPr>
  </w:style>
  <w:style w:type="paragraph" w:styleId="ListParagraph">
    <w:name w:val="List Paragraph"/>
    <w:basedOn w:val="Normal"/>
    <w:uiPriority w:val="34"/>
    <w:rsid w:val="00C23F66"/>
    <w:pPr>
      <w:ind w:left="720"/>
      <w:contextualSpacing/>
    </w:pPr>
  </w:style>
  <w:style w:type="character" w:customStyle="1" w:styleId="a">
    <w:name w:val="a"/>
    <w:basedOn w:val="DefaultParagraphFont"/>
    <w:rsid w:val="00064BF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w:qFormat="1"/>
    <w:lsdException w:name="List Bullet" w:qFormat="1"/>
    <w:lsdException w:name="List Number" w:qFormat="1"/>
    <w:lsdException w:name="List 2" w:qFormat="1"/>
    <w:lsdException w:name="List 3" w:qFormat="1"/>
    <w:lsdException w:name="List Bullet 2" w:qFormat="1"/>
    <w:lsdException w:name="List Bullet 3" w:qFormat="1"/>
    <w:lsdException w:name="List Number 2" w:qFormat="1"/>
    <w:lsdException w:name="List Number 3" w:qFormat="1"/>
    <w:lsdException w:name="Title" w:semiHidden="0" w:uiPriority="10" w:unhideWhenUsed="0" w:qFormat="1"/>
    <w:lsdException w:name="Default Paragraph Font" w:uiPriority="1"/>
    <w:lsdException w:name="Body Text" w:qFormat="1"/>
    <w:lsdException w:name="List Continue" w:qFormat="1"/>
    <w:lsdException w:name="List Continue 2" w:qFormat="1"/>
    <w:lsdException w:name="List Continue 3" w:qFormat="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uiPriority="33" w:unhideWhenUsed="0"/>
    <w:lsdException w:name="Bibliography" w:uiPriority="37"/>
    <w:lsdException w:name="TOC Heading" w:uiPriority="39" w:qFormat="1"/>
  </w:latentStyles>
  <w:style w:type="paragraph" w:default="1" w:styleId="Normal">
    <w:name w:val="Normal"/>
    <w:qFormat/>
    <w:rsid w:val="003628EB"/>
    <w:rPr>
      <w:rFonts w:ascii="Verdana" w:hAnsi="Verdana"/>
      <w:szCs w:val="22"/>
      <w:lang w:eastAsia="en-US"/>
    </w:rPr>
  </w:style>
  <w:style w:type="paragraph" w:styleId="Heading1">
    <w:name w:val="heading 1"/>
    <w:basedOn w:val="Normal"/>
    <w:next w:val="BodyText"/>
    <w:link w:val="Heading1Char"/>
    <w:uiPriority w:val="9"/>
    <w:qFormat/>
    <w:rsid w:val="003628EB"/>
    <w:pPr>
      <w:keepNext/>
      <w:keepLines/>
      <w:spacing w:after="165"/>
      <w:outlineLvl w:val="0"/>
    </w:pPr>
    <w:rPr>
      <w:rFonts w:ascii="Trebuchet MS" w:eastAsia="Times New Roman" w:hAnsi="Trebuchet MS"/>
      <w:b/>
      <w:bCs/>
      <w:color w:val="5D75A9" w:themeColor="accent2"/>
      <w:sz w:val="38"/>
      <w:szCs w:val="28"/>
    </w:rPr>
  </w:style>
  <w:style w:type="paragraph" w:styleId="Heading2">
    <w:name w:val="heading 2"/>
    <w:basedOn w:val="Heading1"/>
    <w:next w:val="BodyText"/>
    <w:link w:val="Heading2Char"/>
    <w:uiPriority w:val="9"/>
    <w:unhideWhenUsed/>
    <w:qFormat/>
    <w:rsid w:val="009620BC"/>
    <w:pPr>
      <w:numPr>
        <w:ilvl w:val="1"/>
      </w:numPr>
      <w:spacing w:before="165"/>
      <w:outlineLvl w:val="1"/>
    </w:pPr>
    <w:rPr>
      <w:b w:val="0"/>
      <w:bCs w:val="0"/>
      <w:sz w:val="26"/>
      <w:szCs w:val="26"/>
    </w:rPr>
  </w:style>
  <w:style w:type="paragraph" w:styleId="Heading3">
    <w:name w:val="heading 3"/>
    <w:basedOn w:val="Heading2"/>
    <w:next w:val="BodyText"/>
    <w:link w:val="Heading3Char"/>
    <w:uiPriority w:val="9"/>
    <w:unhideWhenUsed/>
    <w:qFormat/>
    <w:rsid w:val="003F5500"/>
    <w:pPr>
      <w:numPr>
        <w:ilvl w:val="0"/>
      </w:numPr>
      <w:spacing w:before="200" w:after="0"/>
      <w:outlineLvl w:val="2"/>
    </w:pPr>
    <w:rPr>
      <w:b/>
      <w:bCs/>
      <w:sz w:val="22"/>
    </w:rPr>
  </w:style>
  <w:style w:type="paragraph" w:styleId="Heading4">
    <w:name w:val="heading 4"/>
    <w:basedOn w:val="Heading3"/>
    <w:next w:val="BodyText"/>
    <w:link w:val="Heading4Char"/>
    <w:uiPriority w:val="9"/>
    <w:unhideWhenUsed/>
    <w:qFormat/>
    <w:rsid w:val="00FD69CD"/>
    <w:pPr>
      <w:outlineLvl w:val="3"/>
    </w:pPr>
    <w:rPr>
      <w:bCs w:val="0"/>
      <w:iCs/>
      <w:color w:val="auto"/>
      <w:sz w:val="20"/>
    </w:rPr>
  </w:style>
  <w:style w:type="paragraph" w:styleId="Heading5">
    <w:name w:val="heading 5"/>
    <w:basedOn w:val="Heading4"/>
    <w:next w:val="BodyText"/>
    <w:link w:val="Heading5Char"/>
    <w:uiPriority w:val="9"/>
    <w:unhideWhenUsed/>
    <w:qFormat/>
    <w:rsid w:val="003F5500"/>
    <w:pPr>
      <w:outlineLvl w:val="4"/>
    </w:pPr>
    <w:rPr>
      <w:b w:val="0"/>
      <w:i/>
    </w:rPr>
  </w:style>
  <w:style w:type="paragraph" w:styleId="Heading6">
    <w:name w:val="heading 6"/>
    <w:basedOn w:val="Normal"/>
    <w:next w:val="BodyText"/>
    <w:link w:val="Heading6Char"/>
    <w:uiPriority w:val="9"/>
    <w:semiHidden/>
    <w:qFormat/>
    <w:rsid w:val="00310652"/>
    <w:pPr>
      <w:keepNext/>
      <w:keepLines/>
      <w:spacing w:before="200"/>
      <w:outlineLvl w:val="5"/>
    </w:pPr>
    <w:rPr>
      <w:rFonts w:eastAsia="Times New Roman"/>
      <w:i/>
      <w:iCs/>
    </w:rPr>
  </w:style>
  <w:style w:type="paragraph" w:styleId="Heading7">
    <w:name w:val="heading 7"/>
    <w:basedOn w:val="Normal"/>
    <w:next w:val="Normal"/>
    <w:link w:val="Heading7Char"/>
    <w:uiPriority w:val="9"/>
    <w:semiHidden/>
    <w:rsid w:val="0088042D"/>
    <w:pPr>
      <w:keepNext/>
      <w:keepLines/>
      <w:spacing w:before="200"/>
      <w:outlineLvl w:val="6"/>
    </w:pPr>
    <w:rPr>
      <w:rFonts w:ascii="Cambria" w:eastAsia="Times New Roman"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946728"/>
    <w:pPr>
      <w:spacing w:after="165"/>
      <w:jc w:val="both"/>
    </w:pPr>
  </w:style>
  <w:style w:type="character" w:customStyle="1" w:styleId="BodyTextChar">
    <w:name w:val="Body Text Char"/>
    <w:link w:val="BodyText"/>
    <w:rsid w:val="00946728"/>
    <w:rPr>
      <w:rFonts w:ascii="Verdana" w:hAnsi="Verdana"/>
      <w:szCs w:val="22"/>
      <w:lang w:eastAsia="en-US"/>
    </w:rPr>
  </w:style>
  <w:style w:type="character" w:customStyle="1" w:styleId="Heading1Char">
    <w:name w:val="Heading 1 Char"/>
    <w:link w:val="Heading1"/>
    <w:uiPriority w:val="9"/>
    <w:rsid w:val="00D63019"/>
    <w:rPr>
      <w:rFonts w:ascii="Trebuchet MS" w:eastAsia="Times New Roman" w:hAnsi="Trebuchet MS"/>
      <w:b/>
      <w:bCs/>
      <w:color w:val="5D75A9" w:themeColor="accent2"/>
      <w:sz w:val="38"/>
      <w:szCs w:val="28"/>
      <w:lang w:eastAsia="en-US"/>
    </w:rPr>
  </w:style>
  <w:style w:type="character" w:customStyle="1" w:styleId="Heading2Char">
    <w:name w:val="Heading 2 Char"/>
    <w:link w:val="Heading2"/>
    <w:uiPriority w:val="9"/>
    <w:rsid w:val="009620BC"/>
    <w:rPr>
      <w:rFonts w:ascii="Trebuchet MS" w:eastAsia="Times New Roman" w:hAnsi="Trebuchet MS"/>
      <w:color w:val="5D75A9" w:themeColor="accent2"/>
      <w:sz w:val="26"/>
      <w:szCs w:val="26"/>
      <w:lang w:eastAsia="en-US"/>
    </w:rPr>
  </w:style>
  <w:style w:type="character" w:customStyle="1" w:styleId="Heading3Char">
    <w:name w:val="Heading 3 Char"/>
    <w:link w:val="Heading3"/>
    <w:uiPriority w:val="9"/>
    <w:rsid w:val="003F5500"/>
    <w:rPr>
      <w:rFonts w:ascii="Trebuchet MS" w:eastAsia="Times New Roman" w:hAnsi="Trebuchet MS"/>
      <w:b/>
      <w:bCs/>
      <w:color w:val="5D75A9" w:themeColor="accent2"/>
      <w:sz w:val="22"/>
      <w:szCs w:val="26"/>
      <w:lang w:eastAsia="en-US"/>
    </w:rPr>
  </w:style>
  <w:style w:type="character" w:customStyle="1" w:styleId="Heading4Char">
    <w:name w:val="Heading 4 Char"/>
    <w:link w:val="Heading4"/>
    <w:uiPriority w:val="9"/>
    <w:rsid w:val="00FD69CD"/>
    <w:rPr>
      <w:rFonts w:asciiTheme="majorHAnsi" w:eastAsia="Times New Roman" w:hAnsiTheme="majorHAnsi"/>
      <w:b/>
      <w:iCs/>
      <w:szCs w:val="26"/>
      <w:lang w:eastAsia="en-US"/>
    </w:rPr>
  </w:style>
  <w:style w:type="character" w:customStyle="1" w:styleId="Heading5Char">
    <w:name w:val="Heading 5 Char"/>
    <w:link w:val="Heading5"/>
    <w:uiPriority w:val="9"/>
    <w:rsid w:val="003F5500"/>
    <w:rPr>
      <w:rFonts w:ascii="Trebuchet MS" w:eastAsia="Times New Roman" w:hAnsi="Trebuchet MS"/>
      <w:i/>
      <w:iCs/>
      <w:szCs w:val="26"/>
      <w:lang w:eastAsia="en-US"/>
    </w:rPr>
  </w:style>
  <w:style w:type="character" w:customStyle="1" w:styleId="Heading6Char">
    <w:name w:val="Heading 6 Char"/>
    <w:link w:val="Heading6"/>
    <w:uiPriority w:val="9"/>
    <w:semiHidden/>
    <w:rsid w:val="00757B0B"/>
    <w:rPr>
      <w:rFonts w:ascii="Verdana" w:eastAsia="Times New Roman" w:hAnsi="Verdana"/>
      <w:i/>
      <w:iCs/>
      <w:szCs w:val="22"/>
      <w:lang w:eastAsia="en-US"/>
    </w:rPr>
  </w:style>
  <w:style w:type="paragraph" w:styleId="ListNumber">
    <w:name w:val="List Number"/>
    <w:basedOn w:val="Normal"/>
    <w:uiPriority w:val="99"/>
    <w:unhideWhenUsed/>
    <w:qFormat/>
    <w:rsid w:val="00757B0B"/>
    <w:pPr>
      <w:numPr>
        <w:numId w:val="23"/>
      </w:numPr>
      <w:jc w:val="both"/>
    </w:pPr>
  </w:style>
  <w:style w:type="paragraph" w:styleId="ListNumber2">
    <w:name w:val="List Number 2"/>
    <w:basedOn w:val="ListNumber"/>
    <w:uiPriority w:val="99"/>
    <w:unhideWhenUsed/>
    <w:qFormat/>
    <w:rsid w:val="00757B0B"/>
    <w:pPr>
      <w:numPr>
        <w:ilvl w:val="1"/>
      </w:numPr>
    </w:pPr>
  </w:style>
  <w:style w:type="paragraph" w:styleId="ListNumber3">
    <w:name w:val="List Number 3"/>
    <w:basedOn w:val="ListNumber2"/>
    <w:uiPriority w:val="99"/>
    <w:unhideWhenUsed/>
    <w:qFormat/>
    <w:rsid w:val="00757B0B"/>
    <w:pPr>
      <w:numPr>
        <w:ilvl w:val="2"/>
      </w:numPr>
    </w:pPr>
  </w:style>
  <w:style w:type="paragraph" w:styleId="ListContinue">
    <w:name w:val="List Continue"/>
    <w:basedOn w:val="Normal"/>
    <w:uiPriority w:val="99"/>
    <w:unhideWhenUsed/>
    <w:qFormat/>
    <w:rsid w:val="00371218"/>
    <w:pPr>
      <w:ind w:left="567" w:right="567"/>
      <w:jc w:val="both"/>
    </w:pPr>
  </w:style>
  <w:style w:type="paragraph" w:styleId="ListContinue2">
    <w:name w:val="List Continue 2"/>
    <w:basedOn w:val="Normal"/>
    <w:uiPriority w:val="99"/>
    <w:unhideWhenUsed/>
    <w:qFormat/>
    <w:rsid w:val="00371218"/>
    <w:pPr>
      <w:ind w:left="851" w:right="567"/>
      <w:jc w:val="both"/>
    </w:pPr>
  </w:style>
  <w:style w:type="paragraph" w:styleId="ListContinue3">
    <w:name w:val="List Continue 3"/>
    <w:basedOn w:val="Normal"/>
    <w:uiPriority w:val="99"/>
    <w:unhideWhenUsed/>
    <w:qFormat/>
    <w:rsid w:val="00371218"/>
    <w:pPr>
      <w:ind w:left="1134" w:right="567"/>
      <w:jc w:val="both"/>
    </w:pPr>
  </w:style>
  <w:style w:type="paragraph" w:styleId="ListBullet">
    <w:name w:val="List Bullet"/>
    <w:basedOn w:val="Normal"/>
    <w:uiPriority w:val="99"/>
    <w:unhideWhenUsed/>
    <w:qFormat/>
    <w:rsid w:val="00757B0B"/>
    <w:pPr>
      <w:numPr>
        <w:numId w:val="19"/>
      </w:numPr>
      <w:ind w:right="567"/>
      <w:jc w:val="both"/>
    </w:pPr>
  </w:style>
  <w:style w:type="paragraph" w:styleId="ListBullet2">
    <w:name w:val="List Bullet 2"/>
    <w:basedOn w:val="ListBullet"/>
    <w:uiPriority w:val="99"/>
    <w:unhideWhenUsed/>
    <w:qFormat/>
    <w:rsid w:val="00757B0B"/>
    <w:pPr>
      <w:numPr>
        <w:ilvl w:val="1"/>
      </w:numPr>
      <w:spacing w:line="240" w:lineRule="atLeast"/>
    </w:pPr>
  </w:style>
  <w:style w:type="character" w:customStyle="1" w:styleId="Heading7Char">
    <w:name w:val="Heading 7 Char"/>
    <w:link w:val="Heading7"/>
    <w:uiPriority w:val="9"/>
    <w:semiHidden/>
    <w:rsid w:val="0088042D"/>
    <w:rPr>
      <w:rFonts w:eastAsia="Times New Roman" w:cs="Times New Roman"/>
      <w:i/>
      <w:iCs/>
      <w:color w:val="404040"/>
    </w:rPr>
  </w:style>
  <w:style w:type="paragraph" w:styleId="Footer">
    <w:name w:val="footer"/>
    <w:basedOn w:val="Normal"/>
    <w:link w:val="FooterChar"/>
    <w:uiPriority w:val="99"/>
    <w:unhideWhenUsed/>
    <w:rsid w:val="00F50092"/>
    <w:pPr>
      <w:tabs>
        <w:tab w:val="center" w:pos="4680"/>
        <w:tab w:val="right" w:pos="9360"/>
      </w:tabs>
      <w:jc w:val="center"/>
    </w:pPr>
    <w:rPr>
      <w:rFonts w:ascii="Trebuchet MS" w:hAnsi="Trebuchet MS"/>
      <w:color w:val="1E407B" w:themeColor="accent1"/>
      <w:sz w:val="18"/>
    </w:rPr>
  </w:style>
  <w:style w:type="character" w:customStyle="1" w:styleId="FooterChar">
    <w:name w:val="Footer Char"/>
    <w:link w:val="Footer"/>
    <w:uiPriority w:val="99"/>
    <w:rsid w:val="00F50092"/>
    <w:rPr>
      <w:rFonts w:ascii="Trebuchet MS" w:hAnsi="Trebuchet MS"/>
      <w:color w:val="1E407B" w:themeColor="accent1"/>
      <w:sz w:val="18"/>
      <w:szCs w:val="22"/>
      <w:lang w:eastAsia="en-US"/>
    </w:rPr>
  </w:style>
  <w:style w:type="paragraph" w:styleId="Header">
    <w:name w:val="header"/>
    <w:basedOn w:val="Normal"/>
    <w:link w:val="HeaderChar"/>
    <w:uiPriority w:val="99"/>
    <w:unhideWhenUsed/>
    <w:rsid w:val="00EE326C"/>
    <w:pPr>
      <w:tabs>
        <w:tab w:val="center" w:pos="4680"/>
        <w:tab w:val="right" w:pos="9360"/>
      </w:tabs>
      <w:ind w:right="-595"/>
      <w:jc w:val="right"/>
    </w:pPr>
    <w:rPr>
      <w:rFonts w:ascii="Trebuchet MS" w:hAnsi="Trebuchet MS"/>
      <w:b/>
      <w:color w:val="1E407B" w:themeColor="accent1"/>
      <w:sz w:val="16"/>
    </w:rPr>
  </w:style>
  <w:style w:type="character" w:customStyle="1" w:styleId="HeaderChar">
    <w:name w:val="Header Char"/>
    <w:link w:val="Header"/>
    <w:uiPriority w:val="99"/>
    <w:rsid w:val="00EE326C"/>
    <w:rPr>
      <w:rFonts w:ascii="Trebuchet MS" w:hAnsi="Trebuchet MS"/>
      <w:b/>
      <w:color w:val="1E407B" w:themeColor="accent1"/>
      <w:sz w:val="16"/>
      <w:szCs w:val="22"/>
      <w:lang w:eastAsia="en-US"/>
    </w:rPr>
  </w:style>
  <w:style w:type="character" w:styleId="PageNumber">
    <w:name w:val="page number"/>
    <w:uiPriority w:val="99"/>
    <w:semiHidden/>
    <w:unhideWhenUsed/>
    <w:rsid w:val="00F16BDE"/>
    <w:rPr>
      <w:rFonts w:ascii="Arial" w:hAnsi="Arial"/>
      <w:sz w:val="20"/>
    </w:rPr>
  </w:style>
  <w:style w:type="paragraph" w:styleId="Title">
    <w:name w:val="Title"/>
    <w:basedOn w:val="Normal"/>
    <w:next w:val="Normal"/>
    <w:link w:val="TitleChar"/>
    <w:uiPriority w:val="10"/>
    <w:qFormat/>
    <w:rsid w:val="00946728"/>
    <w:pPr>
      <w:spacing w:after="567"/>
      <w:jc w:val="right"/>
    </w:pPr>
    <w:rPr>
      <w:rFonts w:ascii="Trebuchet MS" w:eastAsia="Times New Roman" w:hAnsi="Trebuchet MS"/>
      <w:b/>
      <w:color w:val="5D75A9" w:themeColor="accent2"/>
      <w:kern w:val="28"/>
      <w:sz w:val="60"/>
      <w:szCs w:val="52"/>
    </w:rPr>
  </w:style>
  <w:style w:type="character" w:customStyle="1" w:styleId="TitleChar">
    <w:name w:val="Title Char"/>
    <w:link w:val="Title"/>
    <w:uiPriority w:val="10"/>
    <w:rsid w:val="00946728"/>
    <w:rPr>
      <w:rFonts w:ascii="Trebuchet MS" w:eastAsia="Times New Roman" w:hAnsi="Trebuchet MS"/>
      <w:b/>
      <w:color w:val="5D75A9" w:themeColor="accent2"/>
      <w:kern w:val="28"/>
      <w:sz w:val="60"/>
      <w:szCs w:val="52"/>
      <w:lang w:eastAsia="en-US"/>
    </w:rPr>
  </w:style>
  <w:style w:type="paragraph" w:styleId="Subtitle">
    <w:name w:val="Subtitle"/>
    <w:basedOn w:val="Title"/>
    <w:next w:val="Normal"/>
    <w:link w:val="SubtitleChar"/>
    <w:uiPriority w:val="11"/>
    <w:qFormat/>
    <w:rsid w:val="00946728"/>
    <w:pPr>
      <w:numPr>
        <w:ilvl w:val="1"/>
      </w:numPr>
      <w:spacing w:after="0"/>
    </w:pPr>
    <w:rPr>
      <w:b w:val="0"/>
      <w:iCs/>
      <w:sz w:val="40"/>
      <w:szCs w:val="24"/>
    </w:rPr>
  </w:style>
  <w:style w:type="character" w:customStyle="1" w:styleId="SubtitleChar">
    <w:name w:val="Subtitle Char"/>
    <w:link w:val="Subtitle"/>
    <w:uiPriority w:val="11"/>
    <w:rsid w:val="00946728"/>
    <w:rPr>
      <w:rFonts w:ascii="Trebuchet MS" w:eastAsia="Times New Roman" w:hAnsi="Trebuchet MS"/>
      <w:iCs/>
      <w:color w:val="5D75A9" w:themeColor="accent2"/>
      <w:kern w:val="28"/>
      <w:sz w:val="40"/>
      <w:szCs w:val="24"/>
      <w:lang w:eastAsia="en-US"/>
    </w:rPr>
  </w:style>
  <w:style w:type="paragraph" w:styleId="TOC1">
    <w:name w:val="toc 1"/>
    <w:basedOn w:val="Normal"/>
    <w:next w:val="Normal"/>
    <w:uiPriority w:val="39"/>
    <w:unhideWhenUsed/>
    <w:rsid w:val="00EE326C"/>
    <w:pPr>
      <w:tabs>
        <w:tab w:val="left" w:pos="1021"/>
        <w:tab w:val="right" w:pos="9639"/>
      </w:tabs>
    </w:pPr>
    <w:rPr>
      <w:b/>
    </w:rPr>
  </w:style>
  <w:style w:type="paragraph" w:styleId="TOC2">
    <w:name w:val="toc 2"/>
    <w:basedOn w:val="Normal"/>
    <w:next w:val="Normal"/>
    <w:uiPriority w:val="39"/>
    <w:unhideWhenUsed/>
    <w:rsid w:val="00EE326C"/>
    <w:pPr>
      <w:tabs>
        <w:tab w:val="left" w:pos="1021"/>
        <w:tab w:val="right" w:pos="9639"/>
      </w:tabs>
    </w:pPr>
  </w:style>
  <w:style w:type="paragraph" w:styleId="TOC3">
    <w:name w:val="toc 3"/>
    <w:basedOn w:val="Normal"/>
    <w:next w:val="Normal"/>
    <w:uiPriority w:val="39"/>
    <w:unhideWhenUsed/>
    <w:rsid w:val="00EE326C"/>
    <w:pPr>
      <w:tabs>
        <w:tab w:val="right" w:pos="9639"/>
      </w:tabs>
      <w:spacing w:before="330" w:after="330"/>
      <w:ind w:left="1021"/>
      <w:contextualSpacing/>
    </w:pPr>
    <w:rPr>
      <w:b/>
    </w:rPr>
  </w:style>
  <w:style w:type="table" w:customStyle="1" w:styleId="Blank">
    <w:name w:val="Blank"/>
    <w:basedOn w:val="TableNormal"/>
    <w:uiPriority w:val="99"/>
    <w:rsid w:val="001A761C"/>
    <w:tblPr>
      <w:tblInd w:w="0" w:type="dxa"/>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664562"/>
    <w:rPr>
      <w:rFonts w:ascii="Tahoma" w:hAnsi="Tahoma" w:cs="Tahoma"/>
      <w:sz w:val="16"/>
      <w:szCs w:val="16"/>
    </w:rPr>
  </w:style>
  <w:style w:type="character" w:customStyle="1" w:styleId="BalloonTextChar">
    <w:name w:val="Balloon Text Char"/>
    <w:basedOn w:val="DefaultParagraphFont"/>
    <w:link w:val="BalloonText"/>
    <w:uiPriority w:val="99"/>
    <w:semiHidden/>
    <w:rsid w:val="00664562"/>
    <w:rPr>
      <w:rFonts w:ascii="Tahoma" w:hAnsi="Tahoma" w:cs="Tahoma"/>
      <w:sz w:val="16"/>
      <w:szCs w:val="16"/>
      <w:lang w:eastAsia="en-US"/>
    </w:rPr>
  </w:style>
  <w:style w:type="table" w:styleId="TableGrid">
    <w:name w:val="Table Grid"/>
    <w:basedOn w:val="TableNormal"/>
    <w:uiPriority w:val="59"/>
    <w:rsid w:val="00C325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uthor">
    <w:name w:val="Author"/>
    <w:basedOn w:val="Normal"/>
    <w:qFormat/>
    <w:rsid w:val="00AE5156"/>
    <w:pPr>
      <w:spacing w:after="170"/>
      <w:jc w:val="right"/>
    </w:pPr>
    <w:rPr>
      <w:rFonts w:ascii="Trebuchet MS" w:hAnsi="Trebuchet MS"/>
      <w:sz w:val="32"/>
    </w:rPr>
  </w:style>
  <w:style w:type="character" w:styleId="Hyperlink">
    <w:name w:val="Hyperlink"/>
    <w:basedOn w:val="DefaultParagraphFont"/>
    <w:uiPriority w:val="99"/>
    <w:unhideWhenUsed/>
    <w:rsid w:val="00946728"/>
    <w:rPr>
      <w:color w:val="0000FF"/>
      <w:u w:val="single"/>
    </w:rPr>
  </w:style>
  <w:style w:type="character" w:styleId="FollowedHyperlink">
    <w:name w:val="FollowedHyperlink"/>
    <w:basedOn w:val="DefaultParagraphFont"/>
    <w:uiPriority w:val="99"/>
    <w:semiHidden/>
    <w:unhideWhenUsed/>
    <w:rsid w:val="00946728"/>
    <w:rPr>
      <w:color w:val="800080"/>
      <w:u w:val="single"/>
    </w:rPr>
  </w:style>
  <w:style w:type="paragraph" w:customStyle="1" w:styleId="Status">
    <w:name w:val="Status"/>
    <w:basedOn w:val="Normal"/>
    <w:qFormat/>
    <w:rsid w:val="003E012B"/>
    <w:pPr>
      <w:jc w:val="right"/>
    </w:pPr>
    <w:rPr>
      <w:rFonts w:ascii="Trebuchet MS" w:hAnsi="Trebuchet MS"/>
      <w:b/>
      <w:color w:val="E1E2E3"/>
      <w:sz w:val="72"/>
    </w:rPr>
  </w:style>
  <w:style w:type="paragraph" w:styleId="Date">
    <w:name w:val="Date"/>
    <w:basedOn w:val="Normal"/>
    <w:next w:val="Normal"/>
    <w:link w:val="DateChar"/>
    <w:uiPriority w:val="99"/>
    <w:rsid w:val="00457F88"/>
    <w:pPr>
      <w:spacing w:after="737"/>
      <w:jc w:val="right"/>
    </w:pPr>
    <w:rPr>
      <w:rFonts w:ascii="Trebuchet MS" w:hAnsi="Trebuchet MS"/>
      <w:sz w:val="28"/>
    </w:rPr>
  </w:style>
  <w:style w:type="character" w:customStyle="1" w:styleId="DateChar">
    <w:name w:val="Date Char"/>
    <w:basedOn w:val="DefaultParagraphFont"/>
    <w:link w:val="Date"/>
    <w:uiPriority w:val="99"/>
    <w:rsid w:val="00457F88"/>
    <w:rPr>
      <w:rFonts w:ascii="Trebuchet MS" w:hAnsi="Trebuchet MS"/>
      <w:sz w:val="28"/>
      <w:szCs w:val="22"/>
      <w:lang w:eastAsia="en-US"/>
    </w:rPr>
  </w:style>
  <w:style w:type="numbering" w:customStyle="1" w:styleId="ODIHeadings">
    <w:name w:val="ODI Headings"/>
    <w:basedOn w:val="NoList"/>
    <w:uiPriority w:val="99"/>
    <w:rsid w:val="003628EB"/>
    <w:pPr>
      <w:numPr>
        <w:numId w:val="14"/>
      </w:numPr>
    </w:pPr>
  </w:style>
  <w:style w:type="paragraph" w:customStyle="1" w:styleId="PrelimHeading">
    <w:name w:val="Prelim Heading"/>
    <w:basedOn w:val="Heading1"/>
    <w:next w:val="BodyText"/>
    <w:qFormat/>
    <w:rsid w:val="005E037A"/>
    <w:pPr>
      <w:spacing w:after="330"/>
    </w:pPr>
  </w:style>
  <w:style w:type="paragraph" w:customStyle="1" w:styleId="Contact">
    <w:name w:val="Contact"/>
    <w:basedOn w:val="Normal"/>
    <w:qFormat/>
    <w:rsid w:val="00AD0B21"/>
  </w:style>
  <w:style w:type="paragraph" w:customStyle="1" w:styleId="PrelimHeadingNoTOC">
    <w:name w:val="Prelim Heading No TOC"/>
    <w:basedOn w:val="PrelimHeading"/>
    <w:next w:val="BodyText"/>
    <w:qFormat/>
    <w:rsid w:val="00B1497C"/>
  </w:style>
  <w:style w:type="paragraph" w:customStyle="1" w:styleId="HeaderEven">
    <w:name w:val="Header Even"/>
    <w:basedOn w:val="Header"/>
    <w:qFormat/>
    <w:rsid w:val="00EE4860"/>
    <w:pPr>
      <w:ind w:left="-595" w:right="0"/>
      <w:jc w:val="left"/>
    </w:pPr>
  </w:style>
  <w:style w:type="paragraph" w:customStyle="1" w:styleId="TableHeading">
    <w:name w:val="Table Heading"/>
    <w:basedOn w:val="Normal"/>
    <w:next w:val="BodyText"/>
    <w:qFormat/>
    <w:rsid w:val="0030797E"/>
    <w:pPr>
      <w:numPr>
        <w:numId w:val="16"/>
      </w:numPr>
      <w:spacing w:after="165"/>
      <w:ind w:left="0" w:firstLine="0"/>
    </w:pPr>
    <w:rPr>
      <w:rFonts w:ascii="Trebuchet MS" w:hAnsi="Trebuchet MS"/>
      <w:b/>
      <w:color w:val="1E407B" w:themeColor="accent1"/>
      <w:sz w:val="24"/>
    </w:rPr>
  </w:style>
  <w:style w:type="numbering" w:customStyle="1" w:styleId="ODITableHeadings">
    <w:name w:val="ODI Table Headings"/>
    <w:basedOn w:val="NoList"/>
    <w:uiPriority w:val="99"/>
    <w:rsid w:val="00457F88"/>
    <w:pPr>
      <w:numPr>
        <w:numId w:val="16"/>
      </w:numPr>
    </w:pPr>
  </w:style>
  <w:style w:type="paragraph" w:customStyle="1" w:styleId="FigureHeading">
    <w:name w:val="Figure Heading"/>
    <w:basedOn w:val="Normal"/>
    <w:next w:val="BodyText"/>
    <w:qFormat/>
    <w:rsid w:val="0030797E"/>
    <w:pPr>
      <w:numPr>
        <w:numId w:val="17"/>
      </w:numPr>
      <w:spacing w:after="165"/>
      <w:ind w:left="0" w:firstLine="0"/>
    </w:pPr>
    <w:rPr>
      <w:rFonts w:ascii="Trebuchet MS" w:hAnsi="Trebuchet MS"/>
      <w:b/>
      <w:color w:val="1E407B" w:themeColor="accent1"/>
      <w:sz w:val="24"/>
    </w:rPr>
  </w:style>
  <w:style w:type="numbering" w:customStyle="1" w:styleId="ODIFigureHeadings">
    <w:name w:val="ODI Figure Headings"/>
    <w:basedOn w:val="NoList"/>
    <w:uiPriority w:val="99"/>
    <w:rsid w:val="00484325"/>
    <w:pPr>
      <w:numPr>
        <w:numId w:val="17"/>
      </w:numPr>
    </w:pPr>
  </w:style>
  <w:style w:type="paragraph" w:customStyle="1" w:styleId="BoxHeading">
    <w:name w:val="Box Heading"/>
    <w:basedOn w:val="Normal"/>
    <w:next w:val="BodyText"/>
    <w:qFormat/>
    <w:rsid w:val="0030797E"/>
    <w:pPr>
      <w:numPr>
        <w:numId w:val="18"/>
      </w:numPr>
      <w:spacing w:after="120"/>
      <w:ind w:left="0" w:firstLine="0"/>
    </w:pPr>
    <w:rPr>
      <w:rFonts w:ascii="Trebuchet MS" w:hAnsi="Trebuchet MS"/>
      <w:b/>
      <w:color w:val="1E407B" w:themeColor="accent1"/>
      <w:sz w:val="24"/>
    </w:rPr>
  </w:style>
  <w:style w:type="numbering" w:customStyle="1" w:styleId="ODIBoxHeadings">
    <w:name w:val="ODI Box Headings"/>
    <w:basedOn w:val="NoList"/>
    <w:uiPriority w:val="99"/>
    <w:rsid w:val="000D3120"/>
    <w:pPr>
      <w:numPr>
        <w:numId w:val="18"/>
      </w:numPr>
    </w:pPr>
  </w:style>
  <w:style w:type="paragraph" w:customStyle="1" w:styleId="Abbreviation">
    <w:name w:val="Abbreviation"/>
    <w:basedOn w:val="Normal"/>
    <w:qFormat/>
    <w:rsid w:val="00C2422C"/>
    <w:rPr>
      <w:color w:val="1E407B" w:themeColor="accent1"/>
    </w:rPr>
  </w:style>
  <w:style w:type="paragraph" w:styleId="TOCHeading">
    <w:name w:val="TOC Heading"/>
    <w:basedOn w:val="Heading1"/>
    <w:next w:val="Normal"/>
    <w:uiPriority w:val="39"/>
    <w:qFormat/>
    <w:rsid w:val="00C2422C"/>
    <w:pPr>
      <w:spacing w:before="165"/>
      <w:outlineLvl w:val="9"/>
    </w:pPr>
    <w:rPr>
      <w:rFonts w:ascii="Verdana" w:eastAsiaTheme="majorEastAsia" w:hAnsi="Verdana" w:cstheme="majorBidi"/>
      <w:color w:val="1E407B" w:themeColor="accent1"/>
      <w:sz w:val="20"/>
    </w:rPr>
  </w:style>
  <w:style w:type="paragraph" w:styleId="FootnoteText">
    <w:name w:val="footnote text"/>
    <w:basedOn w:val="Normal"/>
    <w:link w:val="FootnoteTextChar"/>
    <w:uiPriority w:val="99"/>
    <w:qFormat/>
    <w:rsid w:val="00BF137D"/>
    <w:rPr>
      <w:sz w:val="16"/>
      <w:szCs w:val="20"/>
    </w:rPr>
  </w:style>
  <w:style w:type="character" w:customStyle="1" w:styleId="FootnoteTextChar">
    <w:name w:val="Footnote Text Char"/>
    <w:basedOn w:val="DefaultParagraphFont"/>
    <w:link w:val="FootnoteText"/>
    <w:uiPriority w:val="99"/>
    <w:rsid w:val="00BF137D"/>
    <w:rPr>
      <w:rFonts w:ascii="Verdana" w:hAnsi="Verdana"/>
      <w:sz w:val="16"/>
      <w:lang w:eastAsia="en-US"/>
    </w:rPr>
  </w:style>
  <w:style w:type="character" w:styleId="FootnoteReference">
    <w:name w:val="footnote reference"/>
    <w:basedOn w:val="DefaultParagraphFont"/>
    <w:uiPriority w:val="99"/>
    <w:qFormat/>
    <w:rsid w:val="00F1337E"/>
    <w:rPr>
      <w:rFonts w:ascii="Verdana" w:hAnsi="Verdana"/>
      <w:sz w:val="20"/>
      <w:vertAlign w:val="superscript"/>
    </w:rPr>
  </w:style>
  <w:style w:type="numbering" w:customStyle="1" w:styleId="ODIBullets">
    <w:name w:val="ODI Bullets"/>
    <w:basedOn w:val="NoList"/>
    <w:uiPriority w:val="99"/>
    <w:rsid w:val="00757B0B"/>
    <w:pPr>
      <w:numPr>
        <w:numId w:val="19"/>
      </w:numPr>
    </w:pPr>
  </w:style>
  <w:style w:type="paragraph" w:customStyle="1" w:styleId="LastBullet">
    <w:name w:val="Last Bullet"/>
    <w:basedOn w:val="ListBullet"/>
    <w:next w:val="BodyText"/>
    <w:qFormat/>
    <w:rsid w:val="0082160C"/>
    <w:pPr>
      <w:numPr>
        <w:numId w:val="20"/>
      </w:numPr>
      <w:spacing w:after="165"/>
    </w:pPr>
  </w:style>
  <w:style w:type="numbering" w:customStyle="1" w:styleId="ODILastBullet">
    <w:name w:val="ODI Last Bullet"/>
    <w:basedOn w:val="ODIBullets"/>
    <w:uiPriority w:val="99"/>
    <w:rsid w:val="0082160C"/>
    <w:pPr>
      <w:numPr>
        <w:numId w:val="20"/>
      </w:numPr>
    </w:pPr>
  </w:style>
  <w:style w:type="table" w:customStyle="1" w:styleId="ODITable">
    <w:name w:val="ODI Table"/>
    <w:basedOn w:val="TableNormal"/>
    <w:uiPriority w:val="99"/>
    <w:rsid w:val="009F1A46"/>
    <w:rPr>
      <w:rFonts w:ascii="Verdana" w:hAnsi="Verdana"/>
      <w:sz w:val="16"/>
    </w:rPr>
    <w:tblPr>
      <w:tblStyleRowBandSize w:val="1"/>
      <w:tblInd w:w="113" w:type="dxa"/>
      <w:tblCellMar>
        <w:top w:w="113" w:type="dxa"/>
        <w:left w:w="108" w:type="dxa"/>
        <w:bottom w:w="113" w:type="dxa"/>
        <w:right w:w="108" w:type="dxa"/>
      </w:tblCellMar>
    </w:tblPr>
    <w:tblStylePr w:type="firstRow">
      <w:rPr>
        <w:rFonts w:ascii="Trebuchet MS" w:hAnsi="Trebuchet MS"/>
        <w:b/>
        <w:color w:val="FFFFFF" w:themeColor="background1"/>
      </w:rPr>
      <w:tblPr/>
      <w:tcPr>
        <w:shd w:val="clear" w:color="auto" w:fill="8998C1" w:themeFill="accent3"/>
      </w:tcPr>
    </w:tblStylePr>
    <w:tblStylePr w:type="band1Horz">
      <w:rPr>
        <w:rFonts w:ascii="Verdana" w:hAnsi="Verdana"/>
        <w:sz w:val="16"/>
      </w:rPr>
      <w:tblPr/>
      <w:tcPr>
        <w:shd w:val="clear" w:color="auto" w:fill="FFFFFF" w:themeFill="background1"/>
      </w:tcPr>
    </w:tblStylePr>
    <w:tblStylePr w:type="band2Horz">
      <w:rPr>
        <w:rFonts w:ascii="Verdana" w:hAnsi="Verdana"/>
        <w:sz w:val="16"/>
      </w:rPr>
      <w:tblPr/>
      <w:tcPr>
        <w:shd w:val="clear" w:color="auto" w:fill="BBC3DC" w:themeFill="accent4"/>
      </w:tcPr>
    </w:tblStylePr>
  </w:style>
  <w:style w:type="paragraph" w:customStyle="1" w:styleId="TableText">
    <w:name w:val="Table Text"/>
    <w:basedOn w:val="Normal"/>
    <w:qFormat/>
    <w:rsid w:val="00BC1A2F"/>
    <w:rPr>
      <w:sz w:val="16"/>
    </w:rPr>
  </w:style>
  <w:style w:type="paragraph" w:customStyle="1" w:styleId="ColumnHeading">
    <w:name w:val="Column Heading"/>
    <w:basedOn w:val="Normal"/>
    <w:next w:val="TableText"/>
    <w:qFormat/>
    <w:rsid w:val="00BC1A2F"/>
    <w:rPr>
      <w:rFonts w:ascii="Trebuchet MS" w:hAnsi="Trebuchet MS"/>
      <w:b/>
      <w:color w:val="FFFFFF" w:themeColor="background1"/>
      <w:sz w:val="18"/>
    </w:rPr>
  </w:style>
  <w:style w:type="paragraph" w:customStyle="1" w:styleId="TableBullet">
    <w:name w:val="Table Bullet"/>
    <w:basedOn w:val="TableText"/>
    <w:qFormat/>
    <w:rsid w:val="00BC1A2F"/>
    <w:pPr>
      <w:numPr>
        <w:numId w:val="21"/>
      </w:numPr>
    </w:pPr>
  </w:style>
  <w:style w:type="numbering" w:customStyle="1" w:styleId="ODITableBullet">
    <w:name w:val="ODI Table Bullet"/>
    <w:basedOn w:val="NoList"/>
    <w:uiPriority w:val="99"/>
    <w:rsid w:val="00BC1A2F"/>
    <w:pPr>
      <w:numPr>
        <w:numId w:val="21"/>
      </w:numPr>
    </w:pPr>
  </w:style>
  <w:style w:type="paragraph" w:customStyle="1" w:styleId="Source">
    <w:name w:val="Source"/>
    <w:basedOn w:val="Normal"/>
    <w:qFormat/>
    <w:rsid w:val="00DE6F6D"/>
    <w:pPr>
      <w:spacing w:before="227" w:after="165"/>
      <w:jc w:val="both"/>
    </w:pPr>
    <w:rPr>
      <w:color w:val="1E407B" w:themeColor="accent1"/>
      <w:sz w:val="14"/>
    </w:rPr>
  </w:style>
  <w:style w:type="paragraph" w:customStyle="1" w:styleId="BoxText">
    <w:name w:val="Box Text"/>
    <w:basedOn w:val="Normal"/>
    <w:qFormat/>
    <w:rsid w:val="00617000"/>
    <w:pPr>
      <w:spacing w:after="135"/>
      <w:jc w:val="both"/>
    </w:pPr>
    <w:rPr>
      <w:color w:val="1E407B" w:themeColor="accent1"/>
      <w:sz w:val="18"/>
    </w:rPr>
  </w:style>
  <w:style w:type="table" w:customStyle="1" w:styleId="ODIBox">
    <w:name w:val="ODI Box"/>
    <w:basedOn w:val="TableNormal"/>
    <w:uiPriority w:val="99"/>
    <w:rsid w:val="00617000"/>
    <w:rPr>
      <w:rFonts w:ascii="Verdana" w:hAnsi="Verdana"/>
      <w:color w:val="1E407B" w:themeColor="accent1"/>
      <w:sz w:val="18"/>
    </w:rPr>
    <w:tblPr>
      <w:tblInd w:w="113" w:type="dxa"/>
      <w:tblBorders>
        <w:top w:val="single" w:sz="4" w:space="0" w:color="1E407B" w:themeColor="accent1"/>
        <w:left w:val="single" w:sz="4" w:space="0" w:color="1E407B" w:themeColor="accent1"/>
        <w:bottom w:val="single" w:sz="4" w:space="0" w:color="1E407B" w:themeColor="accent1"/>
        <w:right w:val="single" w:sz="4" w:space="0" w:color="1E407B" w:themeColor="accent1"/>
      </w:tblBorders>
      <w:tblCellMar>
        <w:top w:w="113" w:type="dxa"/>
        <w:left w:w="108" w:type="dxa"/>
        <w:bottom w:w="113" w:type="dxa"/>
        <w:right w:w="108" w:type="dxa"/>
      </w:tblCellMar>
    </w:tblPr>
    <w:tcPr>
      <w:shd w:val="clear" w:color="auto" w:fill="auto"/>
    </w:tcPr>
  </w:style>
  <w:style w:type="paragraph" w:customStyle="1" w:styleId="BoxBullet">
    <w:name w:val="Box Bullet"/>
    <w:basedOn w:val="BoxText"/>
    <w:qFormat/>
    <w:rsid w:val="00470867"/>
    <w:pPr>
      <w:numPr>
        <w:numId w:val="22"/>
      </w:numPr>
      <w:spacing w:after="0"/>
      <w:ind w:left="568" w:right="284" w:hanging="284"/>
    </w:pPr>
  </w:style>
  <w:style w:type="numbering" w:customStyle="1" w:styleId="ODIBoxBullet">
    <w:name w:val="ODI Box Bullet"/>
    <w:basedOn w:val="NoList"/>
    <w:uiPriority w:val="99"/>
    <w:rsid w:val="00705562"/>
    <w:pPr>
      <w:numPr>
        <w:numId w:val="22"/>
      </w:numPr>
    </w:pPr>
  </w:style>
  <w:style w:type="numbering" w:customStyle="1" w:styleId="ODINumberedList">
    <w:name w:val="ODI Numbered List"/>
    <w:basedOn w:val="NoList"/>
    <w:uiPriority w:val="99"/>
    <w:rsid w:val="00757B0B"/>
    <w:pPr>
      <w:numPr>
        <w:numId w:val="23"/>
      </w:numPr>
    </w:pPr>
  </w:style>
  <w:style w:type="paragraph" w:customStyle="1" w:styleId="QuoteSource">
    <w:name w:val="Quote Source"/>
    <w:basedOn w:val="Normal"/>
    <w:next w:val="BodyText"/>
    <w:qFormat/>
    <w:rsid w:val="00470867"/>
    <w:pPr>
      <w:spacing w:after="165"/>
      <w:ind w:left="567" w:right="567"/>
    </w:pPr>
    <w:rPr>
      <w:sz w:val="14"/>
    </w:rPr>
  </w:style>
  <w:style w:type="paragraph" w:styleId="Quote">
    <w:name w:val="Quote"/>
    <w:basedOn w:val="Normal"/>
    <w:next w:val="QuoteSource"/>
    <w:link w:val="QuoteChar"/>
    <w:uiPriority w:val="29"/>
    <w:rsid w:val="00470867"/>
    <w:pPr>
      <w:ind w:left="567" w:right="567"/>
      <w:jc w:val="both"/>
    </w:pPr>
    <w:rPr>
      <w:i/>
      <w:iCs/>
    </w:rPr>
  </w:style>
  <w:style w:type="character" w:customStyle="1" w:styleId="QuoteChar">
    <w:name w:val="Quote Char"/>
    <w:basedOn w:val="DefaultParagraphFont"/>
    <w:link w:val="Quote"/>
    <w:uiPriority w:val="29"/>
    <w:rsid w:val="00470867"/>
    <w:rPr>
      <w:rFonts w:ascii="Verdana" w:hAnsi="Verdana"/>
      <w:i/>
      <w:iCs/>
      <w:szCs w:val="22"/>
      <w:lang w:eastAsia="en-US"/>
    </w:rPr>
  </w:style>
  <w:style w:type="paragraph" w:customStyle="1" w:styleId="ReferenceText">
    <w:name w:val="Reference Text"/>
    <w:basedOn w:val="Normal"/>
    <w:qFormat/>
    <w:rsid w:val="005B0344"/>
    <w:pPr>
      <w:spacing w:after="180"/>
      <w:ind w:left="567" w:hanging="567"/>
      <w:jc w:val="both"/>
    </w:pPr>
    <w:rPr>
      <w:sz w:val="16"/>
    </w:rPr>
  </w:style>
  <w:style w:type="paragraph" w:customStyle="1" w:styleId="AppendixText">
    <w:name w:val="Appendix Text"/>
    <w:basedOn w:val="Normal"/>
    <w:qFormat/>
    <w:rsid w:val="00B851CA"/>
    <w:pPr>
      <w:spacing w:after="120"/>
      <w:jc w:val="both"/>
    </w:pPr>
    <w:rPr>
      <w:sz w:val="16"/>
    </w:rPr>
  </w:style>
  <w:style w:type="paragraph" w:customStyle="1" w:styleId="BodyTextNoSpacing">
    <w:name w:val="Body Text No Spacing"/>
    <w:basedOn w:val="BodyText"/>
    <w:qFormat/>
    <w:rsid w:val="0021269B"/>
    <w:pPr>
      <w:spacing w:after="0"/>
    </w:pPr>
  </w:style>
  <w:style w:type="paragraph" w:customStyle="1" w:styleId="SourceNoSpace">
    <w:name w:val="Source No Space"/>
    <w:basedOn w:val="Source"/>
    <w:next w:val="Normal"/>
    <w:qFormat/>
    <w:rsid w:val="005F4244"/>
    <w:pPr>
      <w:spacing w:after="0"/>
    </w:pPr>
  </w:style>
  <w:style w:type="paragraph" w:styleId="ListParagraph">
    <w:name w:val="List Paragraph"/>
    <w:basedOn w:val="Normal"/>
    <w:uiPriority w:val="34"/>
    <w:rsid w:val="00C23F66"/>
    <w:pPr>
      <w:ind w:left="720"/>
      <w:contextualSpacing/>
    </w:pPr>
  </w:style>
  <w:style w:type="character" w:customStyle="1" w:styleId="a">
    <w:name w:val="a"/>
    <w:basedOn w:val="DefaultParagraphFont"/>
    <w:rsid w:val="00064B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ecdpm.org/dp124"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DI">
      <a:dk1>
        <a:sysClr val="windowText" lastClr="000000"/>
      </a:dk1>
      <a:lt1>
        <a:sysClr val="window" lastClr="FFFFFF"/>
      </a:lt1>
      <a:dk2>
        <a:srgbClr val="6D6E70"/>
      </a:dk2>
      <a:lt2>
        <a:srgbClr val="BCBEC0"/>
      </a:lt2>
      <a:accent1>
        <a:srgbClr val="1E407B"/>
      </a:accent1>
      <a:accent2>
        <a:srgbClr val="5D75A9"/>
      </a:accent2>
      <a:accent3>
        <a:srgbClr val="8998C1"/>
      </a:accent3>
      <a:accent4>
        <a:srgbClr val="BBC3DC"/>
      </a:accent4>
      <a:accent5>
        <a:srgbClr val="F7941E"/>
      </a:accent5>
      <a:accent6>
        <a:srgbClr val="F9A64A"/>
      </a:accent6>
      <a:hlink>
        <a:srgbClr val="FCBB76"/>
      </a:hlink>
      <a:folHlink>
        <a:srgbClr val="FED09E"/>
      </a:folHlink>
    </a:clrScheme>
    <a:fontScheme name="ODI">
      <a:majorFont>
        <a:latin typeface="Trebuchet MS"/>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customUI.xml><?xml version="1.0" encoding="utf-8"?>
<customUI xmlns="http://schemas.microsoft.com/office/2006/01/customui">
  <ribbon startFromScratch="false">
    <tabs>
      <tab id="tabODIReport" label="ODI Simple Report" visible="true" insertBeforeMso="TabHome" keytip="UN">
        <group id="groupHeadings" label="Headings">
          <button id="rxbtnHeading1" label="H1" size="normal" screentip="Apply Heading 1 style (section heading) to selected paragraph/s" onAction="rxbtnApplyStyle_click"/>
          <button id="rxbtnHeading2" label="H2" size="normal" screentip="Apply Heading 2 style to selected paragraph/s" onAction="rxbtnApplyStyle_click"/>
          <button id="rxbtnHeading3" label="H3" size="normal" screentip="Apply Heading 3 style to selected paragraph/s" onAction="rxbtnApplyStyle_click"/>
          <button id="rxbtnHeading4" label="H4" size="normal" screentip="Apply Heading 4 style to selected paragraph/s" onAction="rxbtnApplyStyle_click"/>
          <button id="rxbtnHeading5" label="H5" size="normal" screentip="Apply Heading 5 style to selected paragraph/s" onAction="rxbtnApplyStyle_click"/>
        </group>
        <group id="groupBodyText" label="Body">
          <button id="rxbtnBodyText" label="Body Text" size="normal" screentip="Apply Body Text style to selected paragraph/s" onAction="rxbtnApplyStyle_click" imageMso="ContentControlText"/>
          <button id="rxbtnBullet" label="Bullet" size="normal" screentip="Apply List Bullet style to selected paragraph/s" onAction="rxbtnApplyStyle_click" imageMso="BulletsGalleryWord"/>
          <button id="rxbtnLastBullet" label="Last Bullet" size="normal" screentip="Apply Last Bullet style (with paragraph spacing) to selected paragraph/s" onAction="rxbtnApplyStyle_click" imageMso="BulletsGalleryWord"/>
          <button id="rxbtnNumber" label="Numbered List" size="normal" screentip="Apply List Number style to selected paragraph/s" onAction="rxbtnApplyStyle_click" imageMso="NumberingGalleryWord"/>
          <button id="rxbtnQuote" label="Quote" size="normal" screentip="Apply Quote style to selected paragraph/s" onAction="rxbtnApplyStyle_click" imageMso="AlignMiddleExcel"/>
          <menu id="rxmnuBodyTextStyles" label="Other Styles" imageMso="StylesPane" screentip="Apply other Body styles" size="normal">
            <button id="rxbtnBodyTextNoSpace" label="Body Text No Spacing" screentip="Apply Heading 2 style to selected paragraph/s" onAction="rxbtnApplyStyle_click"/>
            <button id="rxbtnQuoteSource" label="Quote Source" screentip="Apply Quote Source style to selected paragraph/s" onAction="rxbtnApplyStyle_click"/>
            <button id="rxbtnRefText" label="Reference Text" screentip="Apply Reference Text style to selected paragraph/s" onAction="rxbtnApplyStyle_click"/>
            <button id="rxbtnAppendixText" label="Appendix Text" screentip="Apply Appendix Text style to selected paragraph/s" onAction="rxbtnApplyStyle_click"/>
            <button id="rxbtnFootnoteRef" label="Footnote Reference" screentip="Apply Footnote Reference style to selected paragraph/s" onAction="rxbtnApplyStyle_click"/>
            <button id="rxbtnFootnoteText" label="Footnote Text" screentip="Apply Footnote Text style to selected paragraph/s" onAction="rxbtnApplyStyle_click"/>
          </menu>
        </group>
        <group id="groupTables" label="Tables">
          <button id="rxbtnTableStyle" label="Table Style" imageMso="TableStylesGalleryWord" size="large" screentip="Apply ODI Table Style to selected table" onAction="rxbtnTableStyle_click"/>
          <button id="rxbtnTableHeading" label="Table Heading" size="normal" screentip="Apply Table Heading style to selected paragraph/s" onAction="rxbtnApplyStyle_click" imageMso="FontSizeIncrease"/>
          <menu id="rxmnuTableStyles" label="Other Styles" imageMso="StylesPane" screentip="Apply table text and heading styles" size="normal">
            <button id="rxbtnColumnHeading" label="Column Heading" screentip="Apply Column Heading style to selected paragraph/s" onAction="rxbtnApplyStyle_click"/>
            <button id="rxbtnTableText" label="Table Text" screentip="Apply Prelim Heading style to selected paragraph/s but don't include heading in TOC" onAction="rxbtnApplyStyle_click"/>
            <button id="rxbtnTableBullet" label="Table Bullet" screentip="Apply Table Bullet style to selected paragraph/s" onAction="rxbtnApplyStyle_click"/>
            <button id="rxbtnSource" label="Source" screentip="Apply Source style to selected paragraph/s" onAction="rxbtnApplyStyle_click"/>
          </menu>
        </group>
        <group id="groupFigures" label="Figures">
          <button id="rxbtnFigureBox" label="Add Figure Box" imageMso="ChartSecondaryHorizontalAxis" size="large" screentip="Add an empty box for a figure, diagram or graph" onAction="rxbtnFigureBox_click"/>
          <separator id="rxsepFigures1"/>
          <button id="rxbtnFigureHeading" label="Figure Heading" size="normal" screentip="Apply Figure Heading style to selected paragraph/s" onAction="rxbtnApplyStyle_click" imageMso="FontSizeIncrease"/>
          <button id="rxbtnSourceNoSpace" label="Source (no spacing)" size="normal" screentip="Apply Source style (with no paragraph spacing) to selected paragraph/s" onAction="rxbtnApplyStyle_click" imageMso="FontSizeDecrease"/>
          <button id="rxbtnTableCentre" label="Centre Table" size="normal" screentip="Centre the table on the page" onAction="rxbtnTableCentre_click" imageMso="TableCellAlignMiddleCenter"/>
        </group>
        <group id="groupTextBox" label="Text Boxes">
          <button id="rxbtnTextBox" label="Add Text Box" imageMso="TextBoxInsert" size="large" screentip="Add a text box" onAction="rxbtnTextBox_click"/>
          <separator id="rxsepTextBox1"/>
          <button id="rxbtnBoxHeading" label="Box Heading" size="normal" screentip="Apply Box Heading style to selected paragraph/s" onAction="rxbtnApplyStyle_click" imageMso="FontSizeIncrease"/>
          <button id="rxbtnBoxText" label="Box Text" size="normal" screentip="Apply Box Text style to selected paragraph/s" onAction="rxbtnApplyStyle_click" imageMso="ContentControlText"/>
          <button id="rxbtnBoxBullet" label="Box Bullet" size="normal" screentip="Apply Box Bullet style to selected paragraph/s" onAction="rxbtnApplyStyle_click" imageMso="BulletsGalleryWord"/>
        </group>
        <group id="groupOrientation" label="Orientation">
          <menu id="rxmnuLandscape" label="Landscape" imageMso="PageOrientationLandscape" screentip="Insert or change a section to landscape" size="large">
            <button id="rxbtnLandscapeNew" label="New landscape section" screentip="Add a new landscape section at the current selection point" onAction="rxbtnLandscapeNew_click"/>
            <button id="rxbtnLandscapeSwitch" label="Change to landscape" screentip="Change the current section to landscape" onAction="rxbtnLandscapeSwitch_click"/>
          </menu>
          <menu id="rxmnuPortrait" label="Portrait" imageMso="PageOrientationPortrait" screentip="Insert or change a section to portrait" size="large">
            <button id="rxbtnPortraitNew" label="New portrait section" screentip="Add a new portrait section at the current selection point" onAction="rxbtnPortraitNew_click"/>
            <button id="rxbtnPortraitSwitch" label="Change to portrait" screentip="Change the current section to portrait" onAction="rxbtnPortraitSwitch_click"/>
          </menu>
        </group>
        <group id="groupPaste" label="Custom Paste">
          <button id="rxbtnCustomPaste" label="Paste text" imageMso="Paste" size="normal" screentip="Paste text cleanly from other documents" onAction="rxbtnCustomPaste_click"/>
          <button id="rxbtnCustomPasteChart" label="Paste Excel chart" imageMso="PasteSpecialDialog" size="normal" screentip="Paste a chart copied from Excel" onAction="rxbtnCustomPasteChart_click"/>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1DA0B64855AFE429888FE7FD80A4DDF" ma:contentTypeVersion="0" ma:contentTypeDescription="Create a new document." ma:contentTypeScope="" ma:versionID="aff283dd891c4ecdc2bb186af27aa4cf">
  <xsd:schema xmlns:xsd="http://www.w3.org/2001/XMLSchema" xmlns:p="http://schemas.microsoft.com/office/2006/metadata/properties" xmlns:ns2="640BDAC1-5A85-42FE-9888-FE7FD80A4DDF" targetNamespace="http://schemas.microsoft.com/office/2006/metadata/properties" ma:root="true" ma:fieldsID="97f08719884836937f93a47e5250efb2" ns2:_="">
    <xsd:import namespace="640BDAC1-5A85-42FE-9888-FE7FD80A4DDF"/>
    <xsd:element name="properties">
      <xsd:complexType>
        <xsd:sequence>
          <xsd:element name="documentManagement">
            <xsd:complexType>
              <xsd:all>
                <xsd:element ref="ns2:Description0" minOccurs="0"/>
                <xsd:element ref="ns2:Key" minOccurs="0"/>
                <xsd:element ref="ns2:Category0" minOccurs="0"/>
                <xsd:element ref="ns2:Source"/>
                <xsd:element ref="ns2:Category_x0020_2"/>
                <xsd:element ref="ns2:Status"/>
                <xsd:element ref="ns2:Approved" minOccurs="0"/>
                <xsd:element ref="ns2:Audience" minOccurs="0"/>
                <xsd:element ref="ns2:World_x0020_Region" minOccurs="0"/>
                <xsd:element ref="ns2:Country" minOccurs="0"/>
                <xsd:element ref="ns2:Theme" minOccurs="0"/>
              </xsd:all>
            </xsd:complexType>
          </xsd:element>
        </xsd:sequence>
      </xsd:complexType>
    </xsd:element>
  </xsd:schema>
  <xsd:schema xmlns:xsd="http://www.w3.org/2001/XMLSchema" xmlns:dms="http://schemas.microsoft.com/office/2006/documentManagement/types" targetNamespace="640BDAC1-5A85-42FE-9888-FE7FD80A4DDF" elementFormDefault="qualified">
    <xsd:import namespace="http://schemas.microsoft.com/office/2006/documentManagement/types"/>
    <xsd:element name="Description0" ma:index="8" nillable="true" ma:displayName="Summary" ma:description="A short description of what's in the document can help people to find it." ma:internalName="Description0">
      <xsd:simpleType>
        <xsd:restriction base="dms:Note"/>
      </xsd:simpleType>
    </xsd:element>
    <xsd:element name="Key" ma:index="9" nillable="true" ma:displayName="Key document" ma:default="0" ma:description="Tick if this is a key document for this project." ma:internalName="Key">
      <xsd:simpleType>
        <xsd:restriction base="dms:Boolean"/>
      </xsd:simpleType>
    </xsd:element>
    <xsd:element name="Category0" ma:index="10" nillable="true" ma:displayName="Category" ma:default="Background" ma:description="Does this document provide background information, describe a project process, or is it a project output?" ma:format="Dropdown" ma:internalName="Category0">
      <xsd:simpleType>
        <xsd:restriction base="dms:Choice">
          <xsd:enumeration value="Background"/>
          <xsd:enumeration value="Working"/>
          <xsd:enumeration value="Administration"/>
          <xsd:enumeration value="Outputs"/>
        </xsd:restriction>
      </xsd:simpleType>
    </xsd:element>
    <xsd:element name="Source" ma:index="11" ma:displayName="Author" ma:default="Staff" ma:description="Who wrote this document?" ma:format="Dropdown" ma:internalName="Source">
      <xsd:simpleType>
        <xsd:restriction base="dms:Choice">
          <xsd:enumeration value="Associate"/>
          <xsd:enumeration value="External"/>
          <xsd:enumeration value="Staff"/>
        </xsd:restriction>
      </xsd:simpleType>
    </xsd:element>
    <xsd:element name="Category_x0020_2" ma:index="12" ma:displayName="Document Type" ma:default="General" ma:description="Leave as general unless this is a special type of document (eg PID, CV, Meeting Report etc)" ma:format="Dropdown" ma:internalName="Category_x0020_2">
      <xsd:simpleType>
        <xsd:restriction base="dms:Choice">
          <xsd:enumeration value="Budget"/>
          <xsd:enumeration value="Business Plan"/>
          <xsd:enumeration value="Contract"/>
          <xsd:enumeration value="CV"/>
          <xsd:enumeration value="Expenses"/>
          <xsd:enumeration value="General"/>
          <xsd:enumeration value="How-to / Guideline"/>
          <xsd:enumeration value="Invoice"/>
          <xsd:enumeration value="M&amp;E"/>
          <xsd:enumeration value="Meeting Notes / Minutes"/>
          <xsd:enumeration value="PID"/>
          <xsd:enumeration value="Policy"/>
          <xsd:enumeration value="Proposal"/>
          <xsd:enumeration value="Publication"/>
          <xsd:enumeration value="Trip Report"/>
          <xsd:enumeration value="Other"/>
        </xsd:restriction>
      </xsd:simpleType>
    </xsd:element>
    <xsd:element name="Status" ma:index="13" ma:displayName="Status" ma:default="Draft" ma:description="Select Draft, Final (or Approved - only relevant for proposals and publications)" ma:format="Dropdown" ma:internalName="Status">
      <xsd:simpleType>
        <xsd:restriction base="dms:Choice">
          <xsd:enumeration value="Draft"/>
          <xsd:enumeration value="Final"/>
        </xsd:restriction>
      </xsd:simpleType>
    </xsd:element>
    <xsd:element name="Approved" ma:index="14" nillable="true" ma:displayName="Approved" ma:default="0" ma:internalName="Approved">
      <xsd:simpleType>
        <xsd:restriction base="dms:Boolean"/>
      </xsd:simpleType>
    </xsd:element>
    <xsd:element name="Audience" ma:index="15" nillable="true" ma:displayName="Internal Only?" ma:default="1" ma:description="Clear this box if the document can be shared outside ODI." ma:internalName="Audience">
      <xsd:simpleType>
        <xsd:restriction base="dms:Boolean"/>
      </xsd:simpleType>
    </xsd:element>
    <xsd:element name="World_x0020_Region" ma:index="16" nillable="true" ma:displayName="Region" ma:default="(none)" ma:format="Dropdown" ma:internalName="World_x0020_Region">
      <xsd:simpleType>
        <xsd:restriction base="dms:Choice">
          <xsd:enumeration value="(none)"/>
          <xsd:enumeration value="Africa"/>
          <xsd:enumeration value="Africa/Eastern Africa"/>
          <xsd:enumeration value="Africa/Middle Africa"/>
          <xsd:enumeration value="Africa/Northern Africa"/>
          <xsd:enumeration value="Africa/Southern Africa"/>
          <xsd:enumeration value="Africa/Western Africa"/>
          <xsd:enumeration value="Americas"/>
          <xsd:enumeration value="Americas/Latin America and the Caribbean"/>
          <xsd:enumeration value="Americas/Northern America"/>
          <xsd:enumeration value="Asia"/>
          <xsd:enumeration value="Asia/Eastern Asia"/>
          <xsd:enumeration value="Asia/South-central Asia"/>
          <xsd:enumeration value="Asia/South-eastern Asia"/>
          <xsd:enumeration value="Asia/Western Asia"/>
          <xsd:enumeration value="Europe"/>
          <xsd:enumeration value="Europe/Eastern Europe"/>
          <xsd:enumeration value="Europe/Northern Europe"/>
          <xsd:enumeration value="Europe/Southern Europe"/>
          <xsd:enumeration value="Europe/Western Europe"/>
          <xsd:enumeration value="Global"/>
          <xsd:enumeration value="Oceania"/>
          <xsd:enumeration value="Oceania/Australia and New Zealand"/>
          <xsd:enumeration value="Oceania/Melanesia"/>
          <xsd:enumeration value="Oceania/Micronesia"/>
          <xsd:enumeration value="Oceania/Polynesia"/>
        </xsd:restriction>
      </xsd:simpleType>
    </xsd:element>
    <xsd:element name="Country" ma:index="17" nillable="true" ma:displayName="Country" ma:default="(none)" ma:description="Optional Field" ma:format="Dropdown" ma:internalName="Country">
      <xsd:simpleType>
        <xsd:restriction base="dms:Choice">
          <xsd:enumeration value="(none)"/>
          <xsd:enumeration value="Afghanistan"/>
          <xsd:enumeration value="Åland Islands"/>
          <xsd:enumeration value="Albania"/>
          <xsd:enumeration value="Algeria"/>
          <xsd:enumeration value="American Samoa"/>
          <xsd:enumeration value="Andorra"/>
          <xsd:enumeration value="Angola"/>
          <xsd:enumeration value="Anguilla"/>
          <xsd:enumeration value="Antigua and Barbuda"/>
          <xsd:enumeration value="Argentina"/>
          <xsd:enumeration value="Armenia"/>
          <xsd:enumeration value="Aruba"/>
          <xsd:enumeration value="Australia"/>
          <xsd:enumeration value="Austria"/>
          <xsd:enumeration value="Azerbaijan"/>
          <xsd:enumeration value="Bahamas"/>
          <xsd:enumeration value="Bahrain"/>
          <xsd:enumeration value="Bangladesh"/>
          <xsd:enumeration value="Barbados"/>
          <xsd:enumeration value="Belarus"/>
          <xsd:enumeration value="Belgium"/>
          <xsd:enumeration value="Belize"/>
          <xsd:enumeration value="Benin"/>
          <xsd:enumeration value="Bermuda"/>
          <xsd:enumeration value="Bhutan"/>
          <xsd:enumeration value="Bolivia"/>
          <xsd:enumeration value="Bosnia and Herzegovina"/>
          <xsd:enumeration value="Botswana"/>
          <xsd:enumeration value="Brazil"/>
          <xsd:enumeration value="British Virgin Islands"/>
          <xsd:enumeration value="Brunei Darussalam"/>
          <xsd:enumeration value="Bulgaria"/>
          <xsd:enumeration value="Burkina Faso"/>
          <xsd:enumeration value="Burundi"/>
          <xsd:enumeration value="Cambodia"/>
          <xsd:enumeration value="Cameroon"/>
          <xsd:enumeration value="Canada"/>
          <xsd:enumeration value="Cape Verde"/>
          <xsd:enumeration value="Cayman Islands"/>
          <xsd:enumeration value="Central African Republic"/>
          <xsd:enumeration value="Chad"/>
          <xsd:enumeration value="Chile"/>
          <xsd:enumeration value="China"/>
          <xsd:enumeration value="Colombia"/>
          <xsd:enumeration value="Comoros"/>
          <xsd:enumeration value="Congo"/>
          <xsd:enumeration value="Congo"/>
          <xsd:enumeration value="Cook Islands"/>
          <xsd:enumeration value="Costa Rica"/>
          <xsd:enumeration value="Côte d'Ivoire"/>
          <xsd:enumeration value="Croatia"/>
          <xsd:enumeration value="Cuba"/>
          <xsd:enumeration value="Cyprus"/>
          <xsd:enumeration value="Czech Republic"/>
          <xsd:enumeration value="Denmark"/>
          <xsd:enumeration value="Djibouti"/>
          <xsd:enumeration value="Dominica"/>
          <xsd:enumeration value="Dominican Republic"/>
          <xsd:enumeration value="DPR Korea"/>
          <xsd:enumeration value="Ecuador"/>
          <xsd:enumeration value="Egypt"/>
          <xsd:enumeration value="El Salvador"/>
          <xsd:enumeration value="Equatorial Guinea"/>
          <xsd:enumeration value="Eritrea"/>
          <xsd:enumeration value="Estonia"/>
          <xsd:enumeration value="Ethiopia"/>
          <xsd:enumeration value="Faeroe Islands"/>
          <xsd:enumeration value="Falkland Islands"/>
          <xsd:enumeration value="Fiji"/>
          <xsd:enumeration value="Finland"/>
          <xsd:enumeration value="France"/>
          <xsd:enumeration value="French Guiana"/>
          <xsd:enumeration value="French Polynesia"/>
          <xsd:enumeration value="Gabon"/>
          <xsd:enumeration value="Gambia"/>
          <xsd:enumeration value="Georgia"/>
          <xsd:enumeration value="Germany"/>
          <xsd:enumeration value="Ghana"/>
          <xsd:enumeration value="Gibraltar"/>
          <xsd:enumeration value="Greece"/>
          <xsd:enumeration value="Greenland"/>
          <xsd:enumeration value="Grenada"/>
          <xsd:enumeration value="Guadeloupe"/>
          <xsd:enumeration value="Guam"/>
          <xsd:enumeration value="Guatemala"/>
          <xsd:enumeration value="Guinea"/>
          <xsd:enumeration value="Guinea-Bissau"/>
          <xsd:enumeration value="Guyana"/>
          <xsd:enumeration value="Haiti"/>
          <xsd:enumeration value="Holy See"/>
          <xsd:enumeration value="Honduras"/>
          <xsd:enumeration value="Hong Kong"/>
          <xsd:enumeration value="Hungary"/>
          <xsd:enumeration value="Iceland"/>
          <xsd:enumeration value="India"/>
          <xsd:enumeration value="Indonesia"/>
          <xsd:enumeration value="Iran"/>
          <xsd:enumeration value="Iraq"/>
          <xsd:enumeration value="Ireland"/>
          <xsd:enumeration value="Israel"/>
          <xsd:enumeration value="Italy"/>
          <xsd:enumeration value="Jamaica"/>
          <xsd:enumeration value="Japan"/>
          <xsd:enumeration value="Jordan"/>
          <xsd:enumeration value="Kazakhstan"/>
          <xsd:enumeration value="Kenya"/>
          <xsd:enumeration value="Kiribati"/>
          <xsd:enumeration value="Kuwait"/>
          <xsd:enumeration value="Kyrgyzstan"/>
          <xsd:enumeration value="Lao PDR"/>
          <xsd:enumeration value="Latvia"/>
          <xsd:enumeration value="Lebanon"/>
          <xsd:enumeration value="Lesotho"/>
          <xsd:enumeration value="Liberia"/>
          <xsd:enumeration value="Libyan Arab Jamahiriya"/>
          <xsd:enumeration value="Liechtenstein"/>
          <xsd:enumeration value="Lithuania"/>
          <xsd:enumeration value="Luxembourg"/>
          <xsd:enumeration value="Macao"/>
          <xsd:enumeration value="Macedonia"/>
          <xsd:enumeration value="Madagascar"/>
          <xsd:enumeration value="Malawi"/>
          <xsd:enumeration value="Malaysia"/>
          <xsd:enumeration value="Maldives"/>
          <xsd:enumeration value="Mali"/>
          <xsd:enumeration value="Malta"/>
          <xsd:enumeration value="Marshall Islands"/>
          <xsd:enumeration value="Martinique"/>
          <xsd:enumeration value="Mauritania"/>
          <xsd:enumeration value="Mauritius"/>
          <xsd:enumeration value="Mayotte"/>
          <xsd:enumeration value="Mexico"/>
          <xsd:enumeration value="Micronesia"/>
          <xsd:enumeration value="Monaco"/>
          <xsd:enumeration value="Mongolia"/>
          <xsd:enumeration value="Montserrat"/>
          <xsd:enumeration value="Morocco"/>
          <xsd:enumeration value="Mozambique"/>
          <xsd:enumeration value="Myanmar"/>
          <xsd:enumeration value="Namibia"/>
          <xsd:enumeration value="Nauru"/>
          <xsd:enumeration value="Nepal"/>
          <xsd:enumeration value="Netherlands"/>
          <xsd:enumeration value="Netherlands Antilles"/>
          <xsd:enumeration value="New Caledonia"/>
          <xsd:enumeration value="New Zealand"/>
          <xsd:enumeration value="Nicaragua"/>
          <xsd:enumeration value="Niger"/>
          <xsd:enumeration value="Nigeria"/>
          <xsd:enumeration value="Niue"/>
          <xsd:enumeration value="Norfolk Island"/>
          <xsd:enumeration value="Northern Mariana Islands"/>
          <xsd:enumeration value="Norway"/>
          <xsd:enumeration value="Oman"/>
          <xsd:enumeration value="Pakistan"/>
          <xsd:enumeration value="Palau"/>
          <xsd:enumeration value="Palestinian Territory"/>
          <xsd:enumeration value="Panama"/>
          <xsd:enumeration value="Papua New Guinea"/>
          <xsd:enumeration value="Paraguay"/>
          <xsd:enumeration value="Peru"/>
          <xsd:enumeration value="Philippines"/>
          <xsd:enumeration value="Pitcairn"/>
          <xsd:enumeration value="Poland"/>
          <xsd:enumeration value="Portugal"/>
          <xsd:enumeration value="Puerto Rico"/>
          <xsd:enumeration value="Qatar"/>
          <xsd:enumeration value="Republic of Korea"/>
          <xsd:enumeration value="Republic of Moldova"/>
          <xsd:enumeration value="Réunion"/>
          <xsd:enumeration value="Romania"/>
          <xsd:enumeration value="Russian Federation"/>
          <xsd:enumeration value="Rwanda"/>
          <xsd:enumeration value="Saint Helena"/>
          <xsd:enumeration value="Saint Kitts and Nevis"/>
          <xsd:enumeration value="Saint Lucia"/>
          <xsd:enumeration value="Saint Pierre and Miquelon"/>
          <xsd:enumeration value="Saint Vincent &amp; Grenadines"/>
          <xsd:enumeration value="Samoa"/>
          <xsd:enumeration value="San Marino"/>
          <xsd:enumeration value="Sao Tome and Principe"/>
          <xsd:enumeration value="Saudi Arabia"/>
          <xsd:enumeration value="Senegal"/>
          <xsd:enumeration value="Serbia and Montenegro"/>
          <xsd:enumeration value="Seychelles"/>
          <xsd:enumeration value="Sierra Leone"/>
          <xsd:enumeration value="Singapore"/>
          <xsd:enumeration value="Slovakia"/>
          <xsd:enumeration value="Slovenia"/>
          <xsd:enumeration value="Solomon Islands"/>
          <xsd:enumeration value="Somalia"/>
          <xsd:enumeration value="South Africa"/>
          <xsd:enumeration value="Spain"/>
          <xsd:enumeration value="Sri Lanka"/>
          <xsd:enumeration value="Sudan"/>
          <xsd:enumeration value="Suriname"/>
          <xsd:enumeration value="Svalbard and Jan Mayen Islands"/>
          <xsd:enumeration value="Swaziland"/>
          <xsd:enumeration value="Sweden"/>
          <xsd:enumeration value="Switzerland"/>
          <xsd:enumeration value="Syrian Arab Republic"/>
          <xsd:enumeration value="Tajikistan"/>
          <xsd:enumeration value="Tanzania"/>
          <xsd:enumeration value="Thailand"/>
          <xsd:enumeration value="Timor-Leste"/>
          <xsd:enumeration value="Togo"/>
          <xsd:enumeration value="Tokelau"/>
          <xsd:enumeration value="Tonga"/>
          <xsd:enumeration value="Trinidad and Tobago"/>
          <xsd:enumeration value="Tunisia"/>
          <xsd:enumeration value="Turkey"/>
          <xsd:enumeration value="Turkmenistan"/>
          <xsd:enumeration value="Turks and Caicos Islands"/>
          <xsd:enumeration value="Tuvalu"/>
          <xsd:enumeration value="Uganda"/>
          <xsd:enumeration value="Ukraine"/>
          <xsd:enumeration value="United Arab Emirates"/>
          <xsd:enumeration value="United Kingdom"/>
          <xsd:enumeration value="United States"/>
          <xsd:enumeration value="Uruguay"/>
          <xsd:enumeration value="Uzbekistan"/>
          <xsd:enumeration value="Vanuatu"/>
          <xsd:enumeration value="Venezuela"/>
          <xsd:enumeration value="Viet Nam"/>
          <xsd:enumeration value="Virgin Islands"/>
          <xsd:enumeration value="Wallis and Futuna Islands"/>
          <xsd:enumeration value="Western Sahara"/>
          <xsd:enumeration value="Yemen"/>
          <xsd:enumeration value="Zambia"/>
          <xsd:enumeration value="Zimbabwe"/>
        </xsd:restriction>
      </xsd:simpleType>
    </xsd:element>
    <xsd:element name="Theme" ma:index="18" nillable="true" ma:displayName="Theme" ma:internalName="Theme">
      <xsd:complexType>
        <xsd:complexContent>
          <xsd:extension base="dms:MultiChoice">
            <xsd:sequence>
              <xsd:element name="Value" maxOccurs="unbounded" minOccurs="0" nillable="true">
                <xsd:simpleType>
                  <xsd:restriction base="dms:Choice">
                    <xsd:enumeration value="Agriculture"/>
                    <xsd:enumeration value="Aid"/>
                    <xsd:enumeration value="Aids/HIV"/>
                    <xsd:enumeration value="Communication"/>
                    <xsd:enumeration value="Conflicts"/>
                    <xsd:enumeration value="Debt"/>
                    <xsd:enumeration value="Development policy"/>
                    <xsd:enumeration value="Ecology"/>
                    <xsd:enumeration value="Economic development"/>
                    <xsd:enumeration value="Economic growth"/>
                    <xsd:enumeration value="Economic models"/>
                    <xsd:enumeration value="Economic policy"/>
                    <xsd:enumeration value="Economic reform"/>
                    <xsd:enumeration value="Economic theory"/>
                    <xsd:enumeration value="Education"/>
                    <xsd:enumeration value="Emergency relief"/>
                    <xsd:enumeration value="Environment"/>
                    <xsd:enumeration value="Evaluation"/>
                    <xsd:enumeration value="Exports"/>
                    <xsd:enumeration value="Finance"/>
                    <xsd:enumeration value="Fiscal policy"/>
                    <xsd:enumeration value="Food / Food Security"/>
                    <xsd:enumeration value="Gender"/>
                    <xsd:enumeration value="Globalisation"/>
                    <xsd:enumeration value="Governance"/>
                    <xsd:enumeration value="Health"/>
                    <xsd:enumeration value="Household"/>
                    <xsd:enumeration value="Human rights"/>
                    <xsd:enumeration value="Humanitarian assistance"/>
                    <xsd:enumeration value="Impact"/>
                    <xsd:enumeration value="Industry"/>
                    <xsd:enumeration value="Inequality"/>
                    <xsd:enumeration value="Investment / FDI"/>
                    <xsd:enumeration value="Labour"/>
                    <xsd:enumeration value="Land tenure"/>
                    <xsd:enumeration value="Livelihoods"/>
                    <xsd:enumeration value="Livestock"/>
                    <xsd:enumeration value="Management"/>
                    <xsd:enumeration value="Manufacturing"/>
                    <xsd:enumeration value="Natural resources"/>
                    <xsd:enumeration value="Non-governmental organisations"/>
                    <xsd:enumeration value="Participation"/>
                    <xsd:enumeration value="Policy"/>
                    <xsd:enumeration value="Politics"/>
                    <xsd:enumeration value="Poverty"/>
                    <xsd:enumeration value="Poverty alleviation"/>
                    <xsd:enumeration value="Public expenditure"/>
                    <xsd:enumeration value="Research"/>
                    <xsd:enumeration value="Rural areas"/>
                    <xsd:enumeration value="Rural development"/>
                    <xsd:enumeration value="Security"/>
                    <xsd:enumeration value="Social conditions"/>
                    <xsd:enumeration value="Structural adjustment"/>
                    <xsd:enumeration value="Sustainability"/>
                    <xsd:enumeration value="Technology"/>
                    <xsd:enumeration value="Tourism"/>
                    <xsd:enumeration value="Trade"/>
                    <xsd:enumeration value="Trade liberalisation"/>
                    <xsd:enumeration value="Trade policy"/>
                    <xsd:enumeration value="Water"/>
                    <xsd:enumeration value="Women"/>
                  </xsd:restrict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Category0 xmlns="640BDAC1-5A85-42FE-9888-FE7FD80A4DDF">Background</Category0>
    <Country xmlns="640BDAC1-5A85-42FE-9888-FE7FD80A4DDF">(none)</Country>
    <Description0 xmlns="640BDAC1-5A85-42FE-9888-FE7FD80A4DDF" xsi:nil="true"/>
    <Status xmlns="640BDAC1-5A85-42FE-9888-FE7FD80A4DDF">Draft</Status>
    <Approved xmlns="640BDAC1-5A85-42FE-9888-FE7FD80A4DDF">false</Approved>
    <World_x0020_Region xmlns="640BDAC1-5A85-42FE-9888-FE7FD80A4DDF">(none)</World_x0020_Region>
    <Source xmlns="640BDAC1-5A85-42FE-9888-FE7FD80A4DDF">Staff</Source>
    <Category_x0020_2 xmlns="640BDAC1-5A85-42FE-9888-FE7FD80A4DDF">General</Category_x0020_2>
    <Theme xmlns="640BDAC1-5A85-42FE-9888-FE7FD80A4DDF"/>
    <Key xmlns="640BDAC1-5A85-42FE-9888-FE7FD80A4DDF">false</Key>
    <Audience xmlns="640BDAC1-5A85-42FE-9888-FE7FD80A4DDF">true</Audie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89BD59-B396-4D25-A15E-F1620DD28A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0BDAC1-5A85-42FE-9888-FE7FD80A4DDF"/>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E942BC95-B2DC-407F-B8E8-760C42338B20}">
  <ds:schemaRefs>
    <ds:schemaRef ds:uri="http://schemas.microsoft.com/sharepoint/v3/contenttype/forms"/>
  </ds:schemaRefs>
</ds:datastoreItem>
</file>

<file path=customXml/itemProps3.xml><?xml version="1.0" encoding="utf-8"?>
<ds:datastoreItem xmlns:ds="http://schemas.openxmlformats.org/officeDocument/2006/customXml" ds:itemID="{74F9428D-B14E-4B6B-8A4F-25CAE6ECD1AF}">
  <ds:schemaRefs>
    <ds:schemaRef ds:uri="http://schemas.microsoft.com/office/2006/metadata/properties"/>
    <ds:schemaRef ds:uri="640BDAC1-5A85-42FE-9888-FE7FD80A4DDF"/>
  </ds:schemaRefs>
</ds:datastoreItem>
</file>

<file path=customXml/itemProps4.xml><?xml version="1.0" encoding="utf-8"?>
<ds:datastoreItem xmlns:ds="http://schemas.openxmlformats.org/officeDocument/2006/customXml" ds:itemID="{0ED25A26-58A5-44AB-B480-F44C04EB63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5</Pages>
  <Words>2250</Words>
  <Characters>12829</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ODI</Company>
  <LinksUpToDate>false</LinksUpToDate>
  <CharactersWithSpaces>15049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Melanie Francis</dc:creator>
  <cp:lastModifiedBy>Leni Wild</cp:lastModifiedBy>
  <cp:revision>6</cp:revision>
  <dcterms:created xsi:type="dcterms:W3CDTF">2012-05-23T09:02:00Z</dcterms:created>
  <dcterms:modified xsi:type="dcterms:W3CDTF">2012-05-23T09:22:00Z</dcterms:modified>
</cp:coreProperties>
</file>