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ACA" w:rsidRPr="00C67AAE" w:rsidRDefault="00B60ACA" w:rsidP="00B60ACA">
      <w:pPr>
        <w:jc w:val="center"/>
        <w:rPr>
          <w:b/>
          <w:sz w:val="32"/>
          <w:szCs w:val="32"/>
        </w:rPr>
      </w:pPr>
      <w:r w:rsidRPr="00C67AAE">
        <w:rPr>
          <w:b/>
          <w:sz w:val="32"/>
          <w:szCs w:val="32"/>
        </w:rPr>
        <w:t>Libro blanco del aporte de las empresas TIC a la educación en Iberoamérica</w:t>
      </w:r>
    </w:p>
    <w:p w:rsidR="00B60ACA" w:rsidRDefault="00B60ACA" w:rsidP="00B60ACA">
      <w:pPr>
        <w:jc w:val="both"/>
      </w:pPr>
    </w:p>
    <w:p w:rsidR="00B60ACA" w:rsidRPr="00C67AAE" w:rsidRDefault="004B421C" w:rsidP="00B60A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Resumen</w:t>
      </w:r>
    </w:p>
    <w:p w:rsidR="00B60ACA" w:rsidRDefault="00B60ACA" w:rsidP="00B60ACA">
      <w:pPr>
        <w:jc w:val="both"/>
      </w:pPr>
    </w:p>
    <w:p w:rsidR="00B60ACA" w:rsidRPr="00C67AAE" w:rsidRDefault="00B60ACA" w:rsidP="00B60ACA">
      <w:pPr>
        <w:jc w:val="right"/>
      </w:pPr>
      <w:r w:rsidRPr="00C67AAE">
        <w:t>Gustavo Jorge</w:t>
      </w:r>
    </w:p>
    <w:p w:rsidR="00B60ACA" w:rsidRPr="00C67AAE" w:rsidRDefault="00B60ACA" w:rsidP="00B60ACA">
      <w:pPr>
        <w:jc w:val="right"/>
      </w:pPr>
      <w:r w:rsidRPr="00C67AAE">
        <w:t>Septiembre 2011</w:t>
      </w:r>
    </w:p>
    <w:p w:rsidR="00B60ACA" w:rsidRDefault="00B60ACA" w:rsidP="00670B78">
      <w:pPr>
        <w:jc w:val="both"/>
      </w:pPr>
    </w:p>
    <w:p w:rsidR="00B60ACA" w:rsidRDefault="00B60ACA" w:rsidP="00670B78">
      <w:pPr>
        <w:jc w:val="both"/>
      </w:pPr>
    </w:p>
    <w:p w:rsidR="00670B78" w:rsidRDefault="00670B78" w:rsidP="00670B78">
      <w:pPr>
        <w:jc w:val="both"/>
      </w:pPr>
      <w:r>
        <w:t>L</w:t>
      </w:r>
      <w:r w:rsidRPr="00BB5232">
        <w:t>a XX Cumbre Iberoamericana</w:t>
      </w:r>
      <w:r>
        <w:t xml:space="preserve"> de Jefes de Estado y de Gobierno, celebrada </w:t>
      </w:r>
      <w:r w:rsidR="00577C15">
        <w:t>en</w:t>
      </w:r>
      <w:r>
        <w:t xml:space="preserve"> diciembre de 2010 en Mar del Plata, Argentina; proclamó como tema central a la Educación para la Inclusión Digital. Dentro del marco de las iniciativas planteadas se propuso la realización de una investigación que recopile información, analice, concluya y plantee recomendaciones sobre el aporte a la educación que realiza el sector privado a través de las principales compañías </w:t>
      </w:r>
      <w:r w:rsidR="00577C15">
        <w:t xml:space="preserve">del sector </w:t>
      </w:r>
      <w:r>
        <w:t>T</w:t>
      </w:r>
      <w:r w:rsidR="00577C15">
        <w:t>ecnología de la Información y Comunicaciones (T</w:t>
      </w:r>
      <w:r>
        <w:t>IC</w:t>
      </w:r>
      <w:r w:rsidR="00577C15">
        <w:t>)</w:t>
      </w:r>
      <w:r>
        <w:t xml:space="preserve"> que cuentan con presencia en la región Iberoamérica. Así surgió el </w:t>
      </w:r>
      <w:r w:rsidRPr="00137CC6">
        <w:rPr>
          <w:b/>
        </w:rPr>
        <w:t xml:space="preserve">Libro </w:t>
      </w:r>
      <w:r w:rsidR="00B60ACA">
        <w:rPr>
          <w:b/>
        </w:rPr>
        <w:t>b</w:t>
      </w:r>
      <w:r w:rsidRPr="00137CC6">
        <w:rPr>
          <w:b/>
        </w:rPr>
        <w:t xml:space="preserve">lanco </w:t>
      </w:r>
      <w:r w:rsidR="00B60ACA">
        <w:rPr>
          <w:b/>
        </w:rPr>
        <w:t xml:space="preserve">del aporte de las empresas TIC a la educación en </w:t>
      </w:r>
      <w:r w:rsidRPr="00137CC6">
        <w:rPr>
          <w:b/>
        </w:rPr>
        <w:t>Iberoamérica</w:t>
      </w:r>
      <w:r>
        <w:t>.</w:t>
      </w:r>
    </w:p>
    <w:p w:rsidR="00670B78" w:rsidRDefault="00670B78" w:rsidP="00670B78">
      <w:pPr>
        <w:jc w:val="both"/>
      </w:pPr>
      <w:r>
        <w:t xml:space="preserve"> </w:t>
      </w:r>
    </w:p>
    <w:p w:rsidR="00670B78" w:rsidRDefault="00670B78" w:rsidP="00670B78">
      <w:pPr>
        <w:jc w:val="both"/>
        <w:rPr>
          <w:rFonts w:cs="Calibri"/>
        </w:rPr>
      </w:pPr>
      <w:r>
        <w:t xml:space="preserve">El </w:t>
      </w:r>
      <w:r w:rsidRPr="00D009CC">
        <w:rPr>
          <w:b/>
        </w:rPr>
        <w:t xml:space="preserve">Libro </w:t>
      </w:r>
      <w:r w:rsidR="00B60ACA">
        <w:rPr>
          <w:b/>
        </w:rPr>
        <w:t>b</w:t>
      </w:r>
      <w:r w:rsidRPr="00D009CC">
        <w:rPr>
          <w:b/>
        </w:rPr>
        <w:t>lanco</w:t>
      </w:r>
      <w:r>
        <w:t xml:space="preserve"> retoma la importancia asignada por el B</w:t>
      </w:r>
      <w:r w:rsidR="00577C15">
        <w:t xml:space="preserve">anco </w:t>
      </w:r>
      <w:r>
        <w:t>I</w:t>
      </w:r>
      <w:r w:rsidR="00577C15">
        <w:t xml:space="preserve">nteramericano de </w:t>
      </w:r>
      <w:r>
        <w:t>D</w:t>
      </w:r>
      <w:r w:rsidR="00577C15">
        <w:t>esarrollo (BID)</w:t>
      </w:r>
      <w:r>
        <w:t xml:space="preserve"> al </w:t>
      </w:r>
      <w:r w:rsidRPr="002A0C86">
        <w:rPr>
          <w:b/>
        </w:rPr>
        <w:t>proceso de planificación de incorporación de la tecnología y de contemplar el uso de las TIC desde el propio diseño de políticas públicas</w:t>
      </w:r>
      <w:r>
        <w:t xml:space="preserve">. </w:t>
      </w:r>
      <w:r>
        <w:rPr>
          <w:rFonts w:cs="Calibri"/>
        </w:rPr>
        <w:t xml:space="preserve">Es aquí donde </w:t>
      </w:r>
      <w:r w:rsidRPr="002024AD">
        <w:rPr>
          <w:rFonts w:cs="Calibri"/>
          <w:b/>
        </w:rPr>
        <w:t>las alianzas público</w:t>
      </w:r>
      <w:r>
        <w:rPr>
          <w:rFonts w:cs="Calibri"/>
          <w:b/>
        </w:rPr>
        <w:t xml:space="preserve"> – </w:t>
      </w:r>
      <w:r w:rsidRPr="002024AD">
        <w:rPr>
          <w:rFonts w:cs="Calibri"/>
          <w:b/>
        </w:rPr>
        <w:t>privadas son claves</w:t>
      </w:r>
      <w:r>
        <w:rPr>
          <w:rFonts w:cs="Calibri"/>
        </w:rPr>
        <w:t xml:space="preserve"> para esta tarea</w:t>
      </w:r>
      <w:r w:rsidR="002A0C86">
        <w:rPr>
          <w:rFonts w:cs="Calibri"/>
        </w:rPr>
        <w:t>, lo cual fue claramente apuntado en l</w:t>
      </w:r>
      <w:r w:rsidRPr="0031599E">
        <w:rPr>
          <w:rFonts w:cs="Calibri"/>
        </w:rPr>
        <w:t>os Objetivos de Desarrollo del Milenio</w:t>
      </w:r>
      <w:r>
        <w:rPr>
          <w:rFonts w:cs="Calibri"/>
        </w:rPr>
        <w:t xml:space="preserve"> impulsados por Naciones Unidas sientan </w:t>
      </w:r>
      <w:r w:rsidRPr="0031599E">
        <w:rPr>
          <w:rFonts w:cs="Calibri"/>
        </w:rPr>
        <w:t xml:space="preserve">al </w:t>
      </w:r>
      <w:r>
        <w:rPr>
          <w:rFonts w:cs="Calibri"/>
        </w:rPr>
        <w:t xml:space="preserve">proclamar el </w:t>
      </w:r>
      <w:r w:rsidRPr="0031599E">
        <w:rPr>
          <w:rFonts w:cs="Calibri"/>
        </w:rPr>
        <w:t>fomento de una alia</w:t>
      </w:r>
      <w:r w:rsidR="002A0C86">
        <w:rPr>
          <w:rFonts w:cs="Calibri"/>
        </w:rPr>
        <w:t>nza mundial para el desarrollo a través (entre otras cosas) de</w:t>
      </w:r>
      <w:r w:rsidRPr="0031599E">
        <w:rPr>
          <w:rFonts w:cs="Calibri"/>
        </w:rPr>
        <w:t xml:space="preserve"> la  </w:t>
      </w:r>
      <w:r w:rsidRPr="00F9277B">
        <w:rPr>
          <w:rFonts w:cs="Calibri"/>
          <w:b/>
        </w:rPr>
        <w:t>cooperación con el sector privado para dar acceso a los beneficios de las TIC</w:t>
      </w:r>
      <w:r w:rsidRPr="0031599E">
        <w:rPr>
          <w:rFonts w:cs="Calibri"/>
        </w:rPr>
        <w:t>.</w:t>
      </w:r>
    </w:p>
    <w:p w:rsidR="00670B78" w:rsidRDefault="00670B78" w:rsidP="00670B78">
      <w:pPr>
        <w:jc w:val="both"/>
      </w:pPr>
    </w:p>
    <w:p w:rsidR="002A0C86" w:rsidRDefault="00670B78" w:rsidP="00670B78">
      <w:pPr>
        <w:jc w:val="both"/>
      </w:pPr>
      <w:r>
        <w:t xml:space="preserve">Es indudable que el rol de diseño e implementación de las políticas públicas es una tarea indelegable de los Estados como garantes del interés general, de ahí que a partir de sus directrices es importante generar </w:t>
      </w:r>
      <w:r w:rsidRPr="00F9277B">
        <w:rPr>
          <w:b/>
        </w:rPr>
        <w:t xml:space="preserve">mesas de diálogo </w:t>
      </w:r>
      <w:r>
        <w:t>con el sector privado para entender cuál puede ser el aporte de las empresas para el desarrollo del país.</w:t>
      </w:r>
    </w:p>
    <w:p w:rsidR="002A0C86" w:rsidRDefault="002A0C86" w:rsidP="00670B78">
      <w:pPr>
        <w:jc w:val="both"/>
      </w:pPr>
    </w:p>
    <w:p w:rsidR="00577C15" w:rsidRPr="00367576" w:rsidRDefault="00577C15" w:rsidP="00577C15">
      <w:pPr>
        <w:jc w:val="both"/>
        <w:rPr>
          <w:lang w:val="es-MX"/>
        </w:rPr>
      </w:pPr>
      <w:r>
        <w:rPr>
          <w:lang w:val="es-MX"/>
        </w:rPr>
        <w:t xml:space="preserve">El resultado del estudio surgió de la recopilación y análisis de </w:t>
      </w:r>
      <w:r w:rsidRPr="00C53DB6">
        <w:rPr>
          <w:rFonts w:cs="Calibri"/>
          <w:b/>
        </w:rPr>
        <w:t xml:space="preserve">más de 240 iniciativas </w:t>
      </w:r>
      <w:r>
        <w:rPr>
          <w:rFonts w:cs="Calibri"/>
          <w:b/>
        </w:rPr>
        <w:t xml:space="preserve">de fomento a la educación </w:t>
      </w:r>
      <w:r w:rsidRPr="00C53DB6">
        <w:rPr>
          <w:rFonts w:cs="Calibri"/>
          <w:b/>
        </w:rPr>
        <w:t>que se desarrollan actualmente en 20 países de la región por las 4 empresas estudiadas</w:t>
      </w:r>
      <w:r>
        <w:rPr>
          <w:lang w:val="es-MX"/>
        </w:rPr>
        <w:t xml:space="preserve">: </w:t>
      </w:r>
      <w:r w:rsidRPr="00577C15">
        <w:rPr>
          <w:b/>
          <w:lang w:val="es-MX"/>
        </w:rPr>
        <w:t>Cisco, Intel, Microsoft y Telefónica</w:t>
      </w:r>
      <w:r>
        <w:rPr>
          <w:lang w:val="es-MX"/>
        </w:rPr>
        <w:t>. En cada una de ellas se enfatizó en la observación de sus programas, el modo de vinculación con el sector público, la colaboración con otras empresas privadas y las oportunidades de mejora para la implementación de sus propuestas.</w:t>
      </w:r>
    </w:p>
    <w:p w:rsidR="00577C15" w:rsidRDefault="00577C15" w:rsidP="00577C15">
      <w:pPr>
        <w:jc w:val="both"/>
        <w:rPr>
          <w:b/>
          <w:lang w:val="es-MX"/>
        </w:rPr>
      </w:pPr>
    </w:p>
    <w:p w:rsidR="00577C15" w:rsidRDefault="00577C15" w:rsidP="00577C15">
      <w:pPr>
        <w:jc w:val="both"/>
      </w:pPr>
      <w:r>
        <w:rPr>
          <w:lang w:val="es-MX"/>
        </w:rPr>
        <w:t xml:space="preserve">Entre las principales conclusiones se observó que las cuatro compañías cuentan con </w:t>
      </w:r>
      <w:r w:rsidRPr="00C53DB6">
        <w:rPr>
          <w:b/>
          <w:lang w:val="es-MX"/>
        </w:rPr>
        <w:t>propuestas</w:t>
      </w:r>
      <w:r>
        <w:rPr>
          <w:lang w:val="es-MX"/>
        </w:rPr>
        <w:t xml:space="preserve"> referidas</w:t>
      </w:r>
      <w:r w:rsidRPr="001F2856">
        <w:t xml:space="preserve"> </w:t>
      </w:r>
      <w:r>
        <w:t>a la</w:t>
      </w:r>
      <w:r w:rsidRPr="001F2856">
        <w:t xml:space="preserve"> </w:t>
      </w:r>
      <w:r w:rsidRPr="00C53DB6">
        <w:rPr>
          <w:b/>
        </w:rPr>
        <w:t>producción de contenidos</w:t>
      </w:r>
      <w:r>
        <w:rPr>
          <w:b/>
        </w:rPr>
        <w:t xml:space="preserve">, </w:t>
      </w:r>
      <w:r w:rsidRPr="00C53DB6">
        <w:rPr>
          <w:b/>
        </w:rPr>
        <w:t>herramientas educativas</w:t>
      </w:r>
      <w:r>
        <w:rPr>
          <w:b/>
        </w:rPr>
        <w:t>,</w:t>
      </w:r>
      <w:r w:rsidRPr="00C53DB6">
        <w:rPr>
          <w:b/>
        </w:rPr>
        <w:t xml:space="preserve"> formación</w:t>
      </w:r>
      <w:r>
        <w:rPr>
          <w:b/>
        </w:rPr>
        <w:t xml:space="preserve">, </w:t>
      </w:r>
      <w:r w:rsidRPr="00C53DB6">
        <w:rPr>
          <w:b/>
        </w:rPr>
        <w:t>competencias y eventos</w:t>
      </w:r>
      <w:r w:rsidRPr="001F2856">
        <w:t xml:space="preserve">. </w:t>
      </w:r>
    </w:p>
    <w:p w:rsidR="00577C15" w:rsidRDefault="00577C15" w:rsidP="00577C15">
      <w:pPr>
        <w:jc w:val="both"/>
        <w:rPr>
          <w:b/>
        </w:rPr>
      </w:pPr>
    </w:p>
    <w:p w:rsidR="00577C15" w:rsidRDefault="00577C15" w:rsidP="00577C15">
      <w:pPr>
        <w:jc w:val="both"/>
      </w:pPr>
      <w:r w:rsidRPr="0011186D">
        <w:t>E</w:t>
      </w:r>
      <w:r>
        <w:t>n cuanto a la articulación con el sector público, e</w:t>
      </w:r>
      <w:r w:rsidRPr="0011186D">
        <w:t>n</w:t>
      </w:r>
      <w:r w:rsidRPr="00FB54B5">
        <w:t xml:space="preserve"> general, todas las empresas circunscriben su acercamiento a la cartera de educación, pero habría que </w:t>
      </w:r>
      <w:r w:rsidRPr="00471DE8">
        <w:rPr>
          <w:b/>
        </w:rPr>
        <w:t>considerar una vinculación con otros ministerio</w:t>
      </w:r>
      <w:r w:rsidRPr="00FB54B5">
        <w:t xml:space="preserve"> que hoy están llevando adelante las estrategias de acceso generales a banda ancha ya que en muchos países no siempre existe un modo de actuación orgánico respecto de las entidades gubernamentales llevan adelante los programas de educación. </w:t>
      </w:r>
    </w:p>
    <w:p w:rsidR="00577C15" w:rsidRDefault="00577C15" w:rsidP="00577C15">
      <w:pPr>
        <w:jc w:val="both"/>
      </w:pPr>
    </w:p>
    <w:p w:rsidR="00577C15" w:rsidRDefault="00577C15" w:rsidP="00577C15">
      <w:pPr>
        <w:jc w:val="both"/>
      </w:pPr>
      <w:r>
        <w:lastRenderedPageBreak/>
        <w:t xml:space="preserve">En lo que hace a la </w:t>
      </w:r>
      <w:r w:rsidRPr="00471DE8">
        <w:rPr>
          <w:b/>
        </w:rPr>
        <w:t>colaboración entre empresas del sector privado</w:t>
      </w:r>
      <w:r>
        <w:t xml:space="preserve"> se ha podido observar que </w:t>
      </w:r>
      <w:r w:rsidRPr="00471DE8">
        <w:rPr>
          <w:b/>
        </w:rPr>
        <w:t>las iniciativas son de carácter táctico pero no estratégicos</w:t>
      </w:r>
      <w:r>
        <w:t xml:space="preserve">, a pesar de que, en muchos casos, ellas mismas reconocen encontrarse en los mismos espacios. </w:t>
      </w:r>
    </w:p>
    <w:p w:rsidR="00577C15" w:rsidRDefault="00577C15" w:rsidP="00577C15">
      <w:pPr>
        <w:jc w:val="both"/>
      </w:pPr>
    </w:p>
    <w:p w:rsidR="00577C15" w:rsidRDefault="00577C15" w:rsidP="00577C15">
      <w:pPr>
        <w:jc w:val="both"/>
        <w:rPr>
          <w:rFonts w:cs="Calibri"/>
        </w:rPr>
      </w:pPr>
      <w:r>
        <w:rPr>
          <w:rFonts w:cs="Calibri"/>
        </w:rPr>
        <w:t xml:space="preserve">Por último se ha podido observar que todas las </w:t>
      </w:r>
      <w:r w:rsidRPr="00471DE8">
        <w:rPr>
          <w:rFonts w:cs="Calibri"/>
          <w:b/>
        </w:rPr>
        <w:t>oportunidades de mejora</w:t>
      </w:r>
      <w:r>
        <w:rPr>
          <w:rFonts w:cs="Calibri"/>
        </w:rPr>
        <w:t xml:space="preserve"> que las compañías identifican en relación con su </w:t>
      </w:r>
      <w:r w:rsidRPr="00D100EC">
        <w:rPr>
          <w:rFonts w:cs="Calibri"/>
        </w:rPr>
        <w:t>articulación con el</w:t>
      </w:r>
      <w:r w:rsidRPr="00471DE8">
        <w:rPr>
          <w:rFonts w:cs="Calibri"/>
          <w:b/>
        </w:rPr>
        <w:t xml:space="preserve"> sector público</w:t>
      </w:r>
      <w:r>
        <w:rPr>
          <w:rFonts w:cs="Calibri"/>
        </w:rPr>
        <w:t xml:space="preserve">, </w:t>
      </w:r>
      <w:r w:rsidRPr="00D100EC">
        <w:rPr>
          <w:rFonts w:cs="Calibri"/>
        </w:rPr>
        <w:t xml:space="preserve">afectan en mayor medida el momento de </w:t>
      </w:r>
      <w:r w:rsidRPr="00471DE8">
        <w:rPr>
          <w:rFonts w:cs="Calibri"/>
          <w:b/>
        </w:rPr>
        <w:t>planificación, negociación e implementación</w:t>
      </w:r>
      <w:r w:rsidR="00D100EC" w:rsidRPr="00D100EC">
        <w:rPr>
          <w:rFonts w:cs="Calibri"/>
        </w:rPr>
        <w:t>;</w:t>
      </w:r>
      <w:r w:rsidR="00D100EC">
        <w:rPr>
          <w:rFonts w:cs="Calibri"/>
          <w:b/>
        </w:rPr>
        <w:t xml:space="preserve"> </w:t>
      </w:r>
      <w:r w:rsidR="00D100EC" w:rsidRPr="00D100EC">
        <w:rPr>
          <w:rFonts w:cs="Calibri"/>
        </w:rPr>
        <w:t>l</w:t>
      </w:r>
      <w:r>
        <w:rPr>
          <w:rFonts w:cs="Calibri"/>
        </w:rPr>
        <w:t xml:space="preserve">as </w:t>
      </w:r>
      <w:r w:rsidRPr="00D100EC">
        <w:rPr>
          <w:rFonts w:cs="Calibri"/>
        </w:rPr>
        <w:t xml:space="preserve">oportunidades de mejora detectadas en el </w:t>
      </w:r>
      <w:r w:rsidRPr="00471DE8">
        <w:rPr>
          <w:rFonts w:cs="Calibri"/>
          <w:b/>
        </w:rPr>
        <w:t>sector docente</w:t>
      </w:r>
      <w:r>
        <w:rPr>
          <w:rFonts w:cs="Calibri"/>
        </w:rPr>
        <w:t xml:space="preserve">, impactan directamente en </w:t>
      </w:r>
      <w:r w:rsidRPr="00471DE8">
        <w:rPr>
          <w:rFonts w:cs="Calibri"/>
          <w:b/>
        </w:rPr>
        <w:t xml:space="preserve">la ejecución </w:t>
      </w:r>
      <w:r w:rsidR="00D100EC">
        <w:rPr>
          <w:rFonts w:cs="Calibri"/>
        </w:rPr>
        <w:t>de las iniciativas; mientras que l</w:t>
      </w:r>
      <w:r>
        <w:rPr>
          <w:rFonts w:cs="Calibri"/>
        </w:rPr>
        <w:t xml:space="preserve">a </w:t>
      </w:r>
      <w:r w:rsidRPr="00D100EC">
        <w:rPr>
          <w:rFonts w:cs="Calibri"/>
        </w:rPr>
        <w:t>escasa colaboración estratégica</w:t>
      </w:r>
      <w:r>
        <w:rPr>
          <w:rFonts w:cs="Calibri"/>
        </w:rPr>
        <w:t xml:space="preserve"> y la ejecución de iniciativas similares del </w:t>
      </w:r>
      <w:r w:rsidRPr="00471DE8">
        <w:rPr>
          <w:rFonts w:cs="Calibri"/>
          <w:b/>
        </w:rPr>
        <w:t>sector privado</w:t>
      </w:r>
      <w:r>
        <w:rPr>
          <w:rFonts w:cs="Calibri"/>
        </w:rPr>
        <w:t xml:space="preserve">, </w:t>
      </w:r>
      <w:r w:rsidRPr="00D100EC">
        <w:rPr>
          <w:rFonts w:cs="Calibri"/>
        </w:rPr>
        <w:t xml:space="preserve">impactan en forma directa </w:t>
      </w:r>
      <w:r w:rsidR="00D100EC">
        <w:rPr>
          <w:rFonts w:cs="Calibri"/>
        </w:rPr>
        <w:t>la</w:t>
      </w:r>
      <w:r w:rsidRPr="00471DE8">
        <w:rPr>
          <w:rFonts w:cs="Calibri"/>
          <w:b/>
        </w:rPr>
        <w:t xml:space="preserve"> escalabilidad</w:t>
      </w:r>
      <w:r w:rsidR="00D100EC">
        <w:rPr>
          <w:rFonts w:cs="Calibri"/>
          <w:b/>
        </w:rPr>
        <w:t>.</w:t>
      </w:r>
      <w:r>
        <w:rPr>
          <w:rFonts w:cs="Calibri"/>
        </w:rPr>
        <w:t xml:space="preserve"> </w:t>
      </w:r>
    </w:p>
    <w:p w:rsidR="00577C15" w:rsidRDefault="00577C15" w:rsidP="00577C15">
      <w:pPr>
        <w:jc w:val="both"/>
      </w:pPr>
    </w:p>
    <w:p w:rsidR="00577C15" w:rsidRDefault="00577C15" w:rsidP="00577C15">
      <w:pPr>
        <w:jc w:val="both"/>
        <w:rPr>
          <w:rFonts w:cs="Calibri"/>
        </w:rPr>
      </w:pPr>
      <w:r>
        <w:t xml:space="preserve">En este sentido, la propuesta resultante del </w:t>
      </w:r>
      <w:r w:rsidRPr="00367576">
        <w:rPr>
          <w:b/>
        </w:rPr>
        <w:t xml:space="preserve">Libro </w:t>
      </w:r>
      <w:r>
        <w:rPr>
          <w:b/>
        </w:rPr>
        <w:t>b</w:t>
      </w:r>
      <w:r w:rsidRPr="00367576">
        <w:rPr>
          <w:b/>
        </w:rPr>
        <w:t>lanco</w:t>
      </w:r>
      <w:r>
        <w:rPr>
          <w:b/>
        </w:rPr>
        <w:t xml:space="preserve"> </w:t>
      </w:r>
      <w:r>
        <w:t xml:space="preserve">consiste en la </w:t>
      </w:r>
      <w:r w:rsidRPr="00CF1FB0">
        <w:rPr>
          <w:b/>
        </w:rPr>
        <w:t>creación de</w:t>
      </w:r>
      <w:r>
        <w:rPr>
          <w:b/>
        </w:rPr>
        <w:t xml:space="preserve"> una figura de enlace </w:t>
      </w:r>
      <w:r>
        <w:rPr>
          <w:rFonts w:cs="Calibri"/>
        </w:rPr>
        <w:t xml:space="preserve">que se constituya como un </w:t>
      </w:r>
      <w:r w:rsidRPr="007F7D5A">
        <w:rPr>
          <w:rFonts w:cs="Calibri"/>
          <w:b/>
        </w:rPr>
        <w:t>centro de aplicación de políticas público – privadas de investigación y desarrollo de tecnologías educativas</w:t>
      </w:r>
      <w:r>
        <w:rPr>
          <w:rFonts w:cs="Calibri"/>
        </w:rPr>
        <w:t>.</w:t>
      </w:r>
    </w:p>
    <w:p w:rsidR="00577C15" w:rsidRDefault="00577C15" w:rsidP="00577C15">
      <w:pPr>
        <w:jc w:val="both"/>
      </w:pPr>
    </w:p>
    <w:p w:rsidR="00577C15" w:rsidRDefault="00577C15" w:rsidP="00577C15">
      <w:pPr>
        <w:jc w:val="both"/>
      </w:pPr>
      <w:r>
        <w:t>El enlace debe</w:t>
      </w:r>
      <w:r w:rsidRPr="005D6416">
        <w:t xml:space="preserve"> </w:t>
      </w:r>
      <w:r>
        <w:t>c</w:t>
      </w:r>
      <w:r w:rsidRPr="005D6416">
        <w:t xml:space="preserve">olaborar en el desarrollo de </w:t>
      </w:r>
      <w:r>
        <w:t xml:space="preserve">la sistematización y convergencia de la </w:t>
      </w:r>
      <w:r w:rsidRPr="005D6416">
        <w:t>educación y TIC en Iberoamérica a través de</w:t>
      </w:r>
      <w:r>
        <w:t xml:space="preserve"> </w:t>
      </w:r>
      <w:r w:rsidRPr="005D6416">
        <w:t>l</w:t>
      </w:r>
      <w:r>
        <w:t>a</w:t>
      </w:r>
      <w:r w:rsidRPr="005D6416">
        <w:t xml:space="preserve"> </w:t>
      </w:r>
      <w:r>
        <w:t xml:space="preserve">instrumentación </w:t>
      </w:r>
      <w:r w:rsidRPr="005D6416">
        <w:t>de actividades de articulación público – privada y la colaboración privado – privado.</w:t>
      </w:r>
      <w:r>
        <w:t xml:space="preserve"> Para ello, entre sus funciones principales se señalan, funcionar como nexo entre el sector público y el privado, alineando intereses y generando iniciativas de colaboración que creen mayor valor en comparación a las iniciativas que las empresas del sector privado realizan en forma individual, o bien colaborando tácticamente; recopilar y sistematizar las experiencias iberoamericanas y globales sobre políticas educativas TIC; promover investigaciones cuantitativas y cualitativas  a partir de las mediciones de impacto de las TIC a nivel local y regional, teniendo en cuenta la realidad económica y socio-cultural de cada país; trabajar en la medición de impacto de la utilización de TIC en las escuelas iberoamericanas tomando los aportes existentes y promoviendo nuevas contribuciones en un trabajo colaborativo; desarrollar metodologías aplicadas a la formación de formadores en TIC y la innovación de modelos pedagógicos; identificar y recomendar mejores prácticas; y apoyar con asesoramiento profesional a aquellos países que desean implementar políticas educativas colaborativas.</w:t>
      </w:r>
    </w:p>
    <w:p w:rsidR="00577C15" w:rsidRDefault="00577C15" w:rsidP="00577C15">
      <w:pPr>
        <w:jc w:val="both"/>
      </w:pPr>
    </w:p>
    <w:p w:rsidR="00577C15" w:rsidRDefault="00577C15" w:rsidP="00577C15">
      <w:pPr>
        <w:jc w:val="both"/>
        <w:rPr>
          <w:rFonts w:cs="Calibri"/>
        </w:rPr>
      </w:pPr>
      <w:r>
        <w:rPr>
          <w:rFonts w:cs="Calibri"/>
        </w:rPr>
        <w:t xml:space="preserve">La figura de enlace puede conformarse como un </w:t>
      </w:r>
      <w:r w:rsidRPr="007D78F7">
        <w:rPr>
          <w:rFonts w:cs="Calibri"/>
          <w:b/>
        </w:rPr>
        <w:t>organismo descentralizado</w:t>
      </w:r>
      <w:r>
        <w:rPr>
          <w:rFonts w:cs="Calibri"/>
        </w:rPr>
        <w:t xml:space="preserve"> integrado por funcionarios públicos, funcionarios del sector privados y reconocidas personalidades educativas. Es importante resaltar que la estructura debe contener una fuerte </w:t>
      </w:r>
      <w:r w:rsidRPr="007D78F7">
        <w:rPr>
          <w:rFonts w:cs="Calibri"/>
          <w:b/>
        </w:rPr>
        <w:t>orientación hacia la ejecución de iniciativas</w:t>
      </w:r>
      <w:r>
        <w:rPr>
          <w:rFonts w:cs="Calibri"/>
        </w:rPr>
        <w:t>.</w:t>
      </w:r>
    </w:p>
    <w:p w:rsidR="00670B78" w:rsidRDefault="00670B78" w:rsidP="00577C15">
      <w:pPr>
        <w:jc w:val="both"/>
        <w:rPr>
          <w:rFonts w:cs="Calibri"/>
        </w:rPr>
      </w:pPr>
    </w:p>
    <w:sectPr w:rsidR="00670B78" w:rsidSect="00D074D0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55D" w:rsidRDefault="004C655D" w:rsidP="00670B78">
      <w:r>
        <w:separator/>
      </w:r>
    </w:p>
  </w:endnote>
  <w:endnote w:type="continuationSeparator" w:id="0">
    <w:p w:rsidR="004C655D" w:rsidRDefault="004C655D" w:rsidP="00670B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328122"/>
      <w:docPartObj>
        <w:docPartGallery w:val="Page Numbers (Bottom of Page)"/>
        <w:docPartUnique/>
      </w:docPartObj>
    </w:sdtPr>
    <w:sdtContent>
      <w:p w:rsidR="00F27822" w:rsidRDefault="00F12418">
        <w:pPr>
          <w:pStyle w:val="Piedepgina"/>
          <w:jc w:val="right"/>
        </w:pPr>
        <w:r w:rsidRPr="00F27822">
          <w:rPr>
            <w:sz w:val="18"/>
            <w:szCs w:val="18"/>
          </w:rPr>
          <w:fldChar w:fldCharType="begin"/>
        </w:r>
        <w:r w:rsidR="00F27822" w:rsidRPr="00F27822">
          <w:rPr>
            <w:sz w:val="18"/>
            <w:szCs w:val="18"/>
          </w:rPr>
          <w:instrText xml:space="preserve"> PAGE   \* MERGEFORMAT </w:instrText>
        </w:r>
        <w:r w:rsidRPr="00F27822">
          <w:rPr>
            <w:sz w:val="18"/>
            <w:szCs w:val="18"/>
          </w:rPr>
          <w:fldChar w:fldCharType="separate"/>
        </w:r>
        <w:r w:rsidR="00856F12">
          <w:rPr>
            <w:noProof/>
            <w:sz w:val="18"/>
            <w:szCs w:val="18"/>
          </w:rPr>
          <w:t>1</w:t>
        </w:r>
        <w:r w:rsidRPr="00F27822">
          <w:rPr>
            <w:sz w:val="18"/>
            <w:szCs w:val="18"/>
          </w:rPr>
          <w:fldChar w:fldCharType="end"/>
        </w:r>
      </w:p>
    </w:sdtContent>
  </w:sdt>
  <w:p w:rsidR="00F27822" w:rsidRDefault="00F27822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55D" w:rsidRDefault="004C655D" w:rsidP="00670B78">
      <w:r>
        <w:separator/>
      </w:r>
    </w:p>
  </w:footnote>
  <w:footnote w:type="continuationSeparator" w:id="0">
    <w:p w:rsidR="004C655D" w:rsidRDefault="004C655D" w:rsidP="00670B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41DC1"/>
    <w:multiLevelType w:val="hybridMultilevel"/>
    <w:tmpl w:val="6742C6F6"/>
    <w:lvl w:ilvl="0" w:tplc="9528AF48">
      <w:start w:val="1"/>
      <w:numFmt w:val="bullet"/>
      <w:lvlText w:val=""/>
      <w:lvlJc w:val="left"/>
      <w:pPr>
        <w:ind w:left="360" w:hanging="360"/>
      </w:pPr>
      <w:rPr>
        <w:rFonts w:ascii="Wingdings" w:hAnsi="Wingdings" w:hint="default"/>
        <w:color w:val="403152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36A6E42"/>
    <w:multiLevelType w:val="hybridMultilevel"/>
    <w:tmpl w:val="42C04B9C"/>
    <w:lvl w:ilvl="0" w:tplc="9528AF48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031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B78"/>
    <w:rsid w:val="000C0462"/>
    <w:rsid w:val="00255452"/>
    <w:rsid w:val="002A0C86"/>
    <w:rsid w:val="004B421C"/>
    <w:rsid w:val="004C655D"/>
    <w:rsid w:val="00577C15"/>
    <w:rsid w:val="006123EA"/>
    <w:rsid w:val="00670258"/>
    <w:rsid w:val="00670B78"/>
    <w:rsid w:val="006D5A57"/>
    <w:rsid w:val="0077590A"/>
    <w:rsid w:val="00856F12"/>
    <w:rsid w:val="008D6AC5"/>
    <w:rsid w:val="009438C6"/>
    <w:rsid w:val="00B33945"/>
    <w:rsid w:val="00B60ACA"/>
    <w:rsid w:val="00D074D0"/>
    <w:rsid w:val="00D100EC"/>
    <w:rsid w:val="00E12210"/>
    <w:rsid w:val="00E829A2"/>
    <w:rsid w:val="00EA3C7F"/>
    <w:rsid w:val="00F12418"/>
    <w:rsid w:val="00F27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B78"/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70B78"/>
    <w:pPr>
      <w:ind w:left="708"/>
    </w:pPr>
  </w:style>
  <w:style w:type="paragraph" w:styleId="Textonotapie">
    <w:name w:val="footnote text"/>
    <w:basedOn w:val="Normal"/>
    <w:link w:val="TextonotapieCar"/>
    <w:unhideWhenUsed/>
    <w:rsid w:val="00670B7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670B78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semiHidden/>
    <w:unhideWhenUsed/>
    <w:rsid w:val="00670B78"/>
    <w:rPr>
      <w:vertAlign w:val="superscript"/>
    </w:rPr>
  </w:style>
  <w:style w:type="paragraph" w:styleId="Encabezado">
    <w:name w:val="header"/>
    <w:basedOn w:val="Normal"/>
    <w:link w:val="EncabezadoCar"/>
    <w:uiPriority w:val="99"/>
    <w:semiHidden/>
    <w:unhideWhenUsed/>
    <w:rsid w:val="00F2782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27822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F2782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782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5451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GUSTAVO</cp:lastModifiedBy>
  <cp:revision>11</cp:revision>
  <dcterms:created xsi:type="dcterms:W3CDTF">2011-09-18T23:42:00Z</dcterms:created>
  <dcterms:modified xsi:type="dcterms:W3CDTF">2011-09-20T18:26:00Z</dcterms:modified>
</cp:coreProperties>
</file>