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AE" w:rsidRDefault="001C26EC">
      <w:r>
        <w:t>UNDP DJIBOUTI</w:t>
      </w:r>
    </w:p>
    <w:p w:rsidR="001C26EC" w:rsidRDefault="001C26EC">
      <w:r>
        <w:t>Profil de projet - Modernisation de l'Etat par l’outil numérique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68"/>
        <w:gridCol w:w="7740"/>
      </w:tblGrid>
      <w:tr w:rsidR="001C26EC" w:rsidTr="00AC5B86">
        <w:tc>
          <w:tcPr>
            <w:tcW w:w="1368" w:type="dxa"/>
          </w:tcPr>
          <w:p w:rsidR="001C26EC" w:rsidRDefault="001C26EC" w:rsidP="00AC5B86">
            <w:pPr>
              <w:rPr>
                <w:sz w:val="21"/>
                <w:szCs w:val="21"/>
              </w:rPr>
            </w:pPr>
            <w:r>
              <w:rPr>
                <w:sz w:val="21"/>
                <w:szCs w:val="21"/>
              </w:rPr>
              <w:t>Country Office</w:t>
            </w:r>
          </w:p>
        </w:tc>
        <w:tc>
          <w:tcPr>
            <w:tcW w:w="7740" w:type="dxa"/>
          </w:tcPr>
          <w:p w:rsidR="001C26EC" w:rsidRDefault="001C26EC" w:rsidP="00AC5B86">
            <w:pPr>
              <w:rPr>
                <w:b/>
                <w:bCs/>
                <w:sz w:val="21"/>
                <w:szCs w:val="21"/>
              </w:rPr>
            </w:pPr>
            <w:r>
              <w:rPr>
                <w:b/>
                <w:bCs/>
                <w:sz w:val="21"/>
                <w:szCs w:val="21"/>
              </w:rPr>
              <w:t>DJIBOUTI</w:t>
            </w:r>
          </w:p>
        </w:tc>
      </w:tr>
      <w:tr w:rsidR="001C26EC" w:rsidTr="00AC5B86">
        <w:tc>
          <w:tcPr>
            <w:tcW w:w="1368" w:type="dxa"/>
          </w:tcPr>
          <w:p w:rsidR="001C26EC" w:rsidRDefault="001C26EC" w:rsidP="00AC5B86">
            <w:pPr>
              <w:rPr>
                <w:sz w:val="21"/>
                <w:szCs w:val="21"/>
              </w:rPr>
            </w:pPr>
            <w:r>
              <w:rPr>
                <w:sz w:val="21"/>
                <w:szCs w:val="21"/>
              </w:rPr>
              <w:t>Project title</w:t>
            </w:r>
          </w:p>
        </w:tc>
        <w:tc>
          <w:tcPr>
            <w:tcW w:w="7740" w:type="dxa"/>
          </w:tcPr>
          <w:p w:rsidR="001C26EC" w:rsidRDefault="001C26EC" w:rsidP="00AC5B86">
            <w:pPr>
              <w:pStyle w:val="Heading3"/>
            </w:pPr>
            <w:r>
              <w:t>Modernisation de l’état par l’outil numérique.</w:t>
            </w:r>
          </w:p>
        </w:tc>
      </w:tr>
      <w:tr w:rsidR="001C26EC" w:rsidTr="00AC5B86">
        <w:tc>
          <w:tcPr>
            <w:tcW w:w="1368" w:type="dxa"/>
          </w:tcPr>
          <w:p w:rsidR="001C26EC" w:rsidRDefault="001C26EC" w:rsidP="00AC5B86">
            <w:pPr>
              <w:rPr>
                <w:sz w:val="21"/>
                <w:szCs w:val="21"/>
                <w:lang w:val="en-US"/>
              </w:rPr>
            </w:pPr>
            <w:r>
              <w:rPr>
                <w:sz w:val="21"/>
                <w:szCs w:val="21"/>
                <w:lang w:val="en-US"/>
              </w:rPr>
              <w:t>Service line</w:t>
            </w:r>
          </w:p>
        </w:tc>
        <w:tc>
          <w:tcPr>
            <w:tcW w:w="7740" w:type="dxa"/>
          </w:tcPr>
          <w:p w:rsidR="001C26EC" w:rsidRDefault="001C26EC" w:rsidP="00AC5B86">
            <w:pPr>
              <w:rPr>
                <w:b/>
                <w:bCs/>
                <w:sz w:val="21"/>
                <w:szCs w:val="21"/>
              </w:rPr>
            </w:pPr>
            <w:r>
              <w:rPr>
                <w:b/>
                <w:bCs/>
                <w:sz w:val="21"/>
                <w:szCs w:val="21"/>
              </w:rPr>
              <w:t xml:space="preserve"> Gouvernement en ligne et accès à l’information  </w:t>
            </w:r>
          </w:p>
        </w:tc>
      </w:tr>
      <w:tr w:rsidR="001C26EC" w:rsidTr="00AC5B86">
        <w:tc>
          <w:tcPr>
            <w:tcW w:w="1368" w:type="dxa"/>
          </w:tcPr>
          <w:p w:rsidR="001C26EC" w:rsidRDefault="001C26EC" w:rsidP="00AC5B86">
            <w:pPr>
              <w:rPr>
                <w:sz w:val="21"/>
                <w:szCs w:val="21"/>
                <w:lang w:val="en-US"/>
              </w:rPr>
            </w:pPr>
            <w:r>
              <w:rPr>
                <w:sz w:val="21"/>
                <w:szCs w:val="21"/>
                <w:lang w:val="en-US"/>
              </w:rPr>
              <w:t>Requested amount</w:t>
            </w:r>
          </w:p>
        </w:tc>
        <w:tc>
          <w:tcPr>
            <w:tcW w:w="7740" w:type="dxa"/>
          </w:tcPr>
          <w:p w:rsidR="001C26EC" w:rsidRDefault="001C26EC" w:rsidP="00AC5B86">
            <w:pPr>
              <w:rPr>
                <w:b/>
                <w:bCs/>
                <w:sz w:val="21"/>
                <w:szCs w:val="21"/>
                <w:lang w:val="en-US"/>
              </w:rPr>
            </w:pPr>
            <w:r>
              <w:rPr>
                <w:b/>
                <w:bCs/>
                <w:sz w:val="21"/>
                <w:szCs w:val="21"/>
                <w:lang w:val="en-US"/>
              </w:rPr>
              <w:t>250.000 US$</w:t>
            </w:r>
          </w:p>
        </w:tc>
      </w:tr>
      <w:tr w:rsidR="001C26EC" w:rsidTr="00AC5B86">
        <w:tc>
          <w:tcPr>
            <w:tcW w:w="1368" w:type="dxa"/>
          </w:tcPr>
          <w:p w:rsidR="001C26EC" w:rsidRDefault="001C26EC" w:rsidP="00AC5B86">
            <w:pPr>
              <w:rPr>
                <w:sz w:val="21"/>
                <w:szCs w:val="21"/>
                <w:lang w:val="en-US"/>
              </w:rPr>
            </w:pPr>
            <w:r>
              <w:rPr>
                <w:sz w:val="21"/>
                <w:szCs w:val="21"/>
                <w:lang w:val="en-US"/>
              </w:rPr>
              <w:t>Name of contact point</w:t>
            </w:r>
          </w:p>
        </w:tc>
        <w:tc>
          <w:tcPr>
            <w:tcW w:w="7740" w:type="dxa"/>
          </w:tcPr>
          <w:p w:rsidR="001C26EC" w:rsidRDefault="001C26EC" w:rsidP="00AC5B86">
            <w:pPr>
              <w:rPr>
                <w:b/>
                <w:bCs/>
                <w:sz w:val="21"/>
                <w:szCs w:val="21"/>
                <w:lang w:val="en-US"/>
              </w:rPr>
            </w:pPr>
            <w:r>
              <w:rPr>
                <w:b/>
                <w:bCs/>
                <w:sz w:val="21"/>
                <w:szCs w:val="21"/>
                <w:lang w:val="en-US"/>
              </w:rPr>
              <w:t>Hassan Ali</w:t>
            </w:r>
          </w:p>
        </w:tc>
      </w:tr>
      <w:tr w:rsidR="001C26EC" w:rsidTr="00AC5B86">
        <w:tc>
          <w:tcPr>
            <w:tcW w:w="1368" w:type="dxa"/>
          </w:tcPr>
          <w:p w:rsidR="001C26EC" w:rsidRDefault="001C26EC" w:rsidP="00AC5B86">
            <w:pPr>
              <w:rPr>
                <w:sz w:val="21"/>
                <w:szCs w:val="21"/>
                <w:lang w:val="en-US"/>
              </w:rPr>
            </w:pPr>
            <w:r>
              <w:rPr>
                <w:sz w:val="21"/>
                <w:szCs w:val="21"/>
                <w:lang w:val="en-US"/>
              </w:rPr>
              <w:t>Relevant SRF Outcome &amp; Output</w:t>
            </w:r>
          </w:p>
        </w:tc>
        <w:tc>
          <w:tcPr>
            <w:tcW w:w="7740" w:type="dxa"/>
          </w:tcPr>
          <w:p w:rsidR="001C26EC" w:rsidRDefault="001C26EC" w:rsidP="00AC5B86">
            <w:pPr>
              <w:pStyle w:val="Heading4"/>
            </w:pPr>
            <w:r>
              <w:t>Politiques et stratégies atteindre des Objectifs de Développement du Millénaire et réduction de la pauvreté</w:t>
            </w:r>
          </w:p>
        </w:tc>
      </w:tr>
      <w:tr w:rsidR="001C26EC" w:rsidTr="00AC5B86">
        <w:tc>
          <w:tcPr>
            <w:tcW w:w="1368" w:type="dxa"/>
          </w:tcPr>
          <w:p w:rsidR="001C26EC" w:rsidRDefault="001C26EC" w:rsidP="00AC5B86">
            <w:pPr>
              <w:rPr>
                <w:sz w:val="21"/>
                <w:szCs w:val="21"/>
              </w:rPr>
            </w:pPr>
            <w:r>
              <w:rPr>
                <w:sz w:val="21"/>
                <w:szCs w:val="21"/>
              </w:rPr>
              <w:t>Current status of project</w:t>
            </w:r>
          </w:p>
        </w:tc>
        <w:tc>
          <w:tcPr>
            <w:tcW w:w="7740" w:type="dxa"/>
          </w:tcPr>
          <w:p w:rsidR="001C26EC" w:rsidRDefault="001C26EC" w:rsidP="00AC5B86">
            <w:pPr>
              <w:rPr>
                <w:b/>
                <w:bCs/>
                <w:sz w:val="21"/>
                <w:szCs w:val="21"/>
              </w:rPr>
            </w:pPr>
            <w:r>
              <w:rPr>
                <w:b/>
                <w:bCs/>
                <w:sz w:val="21"/>
                <w:szCs w:val="21"/>
              </w:rPr>
              <w:t>Document de projet formulé sera formulé une fois financement confirmé.</w:t>
            </w:r>
          </w:p>
        </w:tc>
      </w:tr>
      <w:tr w:rsidR="001C26EC" w:rsidTr="00AC5B86">
        <w:tc>
          <w:tcPr>
            <w:tcW w:w="1368" w:type="dxa"/>
          </w:tcPr>
          <w:p w:rsidR="001C26EC" w:rsidRDefault="001C26EC" w:rsidP="00AC5B86">
            <w:pPr>
              <w:rPr>
                <w:sz w:val="21"/>
                <w:szCs w:val="21"/>
                <w:lang w:val="en-US"/>
              </w:rPr>
            </w:pPr>
            <w:r>
              <w:rPr>
                <w:sz w:val="21"/>
                <w:szCs w:val="21"/>
                <w:lang w:val="en-US"/>
              </w:rPr>
              <w:t>Execution modality</w:t>
            </w:r>
          </w:p>
        </w:tc>
        <w:tc>
          <w:tcPr>
            <w:tcW w:w="7740" w:type="dxa"/>
          </w:tcPr>
          <w:p w:rsidR="001C26EC" w:rsidRDefault="001C26EC" w:rsidP="00AC5B86">
            <w:pPr>
              <w:rPr>
                <w:b/>
                <w:bCs/>
                <w:sz w:val="21"/>
                <w:szCs w:val="21"/>
                <w:lang w:val="en-US"/>
              </w:rPr>
            </w:pPr>
            <w:r>
              <w:rPr>
                <w:b/>
                <w:bCs/>
                <w:sz w:val="21"/>
                <w:szCs w:val="21"/>
                <w:lang w:val="en-US"/>
              </w:rPr>
              <w:t xml:space="preserve">DEX/NEX </w:t>
            </w:r>
          </w:p>
        </w:tc>
      </w:tr>
      <w:tr w:rsidR="001C26EC" w:rsidTr="00AC5B86">
        <w:tc>
          <w:tcPr>
            <w:tcW w:w="1368" w:type="dxa"/>
          </w:tcPr>
          <w:p w:rsidR="001C26EC" w:rsidRDefault="001C26EC" w:rsidP="00AC5B86">
            <w:pPr>
              <w:rPr>
                <w:sz w:val="20"/>
                <w:szCs w:val="21"/>
              </w:rPr>
            </w:pPr>
            <w:r>
              <w:rPr>
                <w:sz w:val="20"/>
                <w:szCs w:val="21"/>
              </w:rPr>
              <w:t>Description</w:t>
            </w:r>
          </w:p>
        </w:tc>
        <w:tc>
          <w:tcPr>
            <w:tcW w:w="7740" w:type="dxa"/>
          </w:tcPr>
          <w:p w:rsidR="001C26EC" w:rsidRDefault="001C26EC" w:rsidP="00AC5B86">
            <w:pPr>
              <w:pStyle w:val="Heading5"/>
            </w:pPr>
            <w:r>
              <w:t>Contexte</w:t>
            </w:r>
          </w:p>
          <w:p w:rsidR="001C26EC" w:rsidRDefault="001C26EC" w:rsidP="00AC5B86">
            <w:pPr>
              <w:jc w:val="both"/>
              <w:rPr>
                <w:sz w:val="20"/>
              </w:rPr>
            </w:pPr>
          </w:p>
          <w:p w:rsidR="001C26EC" w:rsidRDefault="001C26EC" w:rsidP="00AC5B86">
            <w:pPr>
              <w:pStyle w:val="BodyText2"/>
              <w:rPr>
                <w:szCs w:val="24"/>
              </w:rPr>
            </w:pPr>
            <w:r>
              <w:rPr>
                <w:szCs w:val="24"/>
              </w:rPr>
              <w:t>Djibouti fait partie des PMA . Le pays ne dispose quasiment pas de ressources naturelles et les potentialités sont limitées. Le développement de l’industrie et l’agriculture reste marginal et ne contribue qu’à 20% du PIB. L’économie est dominée par le secteur de services ( banques, transports, assurances, télécommunications etc….) qui représente 80% du PIB et bénéficiant d’un réseau d’infrastructures performant. De part sa situation géographique et son port moderne, Djibouti joue un rôle important dans les échanges avec les pays de la région et notamment avec l’Ethiopie dont les importations  transitent par Djibouti.</w:t>
            </w:r>
          </w:p>
          <w:p w:rsidR="001C26EC" w:rsidRDefault="001C26EC" w:rsidP="00AC5B86">
            <w:pPr>
              <w:jc w:val="both"/>
              <w:rPr>
                <w:sz w:val="20"/>
              </w:rPr>
            </w:pPr>
          </w:p>
          <w:p w:rsidR="001C26EC" w:rsidRDefault="001C26EC" w:rsidP="00AC5B86">
            <w:pPr>
              <w:pStyle w:val="BodyText2"/>
            </w:pPr>
            <w:r>
              <w:t>Les  évolutions technologiques  de ces trente dernières années en matière de communication et de l’information ont  engendré des changements considérables dans tous les domaines sociaux et économiques. L’explosion d’Internet et du World Wide Web  ne sont que les manifestations visibles de  ce qu’on appelle la révolution des  Technologies de l’Information et de la Communication  (TIC).</w:t>
            </w:r>
          </w:p>
          <w:p w:rsidR="001C26EC" w:rsidRDefault="001C26EC" w:rsidP="00AC5B86">
            <w:pPr>
              <w:pStyle w:val="BodyText2"/>
            </w:pPr>
          </w:p>
          <w:p w:rsidR="001C26EC" w:rsidRDefault="001C26EC" w:rsidP="00AC5B86">
            <w:pPr>
              <w:tabs>
                <w:tab w:val="left" w:pos="602"/>
                <w:tab w:val="left" w:pos="1152"/>
                <w:tab w:val="left" w:pos="1800"/>
              </w:tabs>
              <w:suppressAutoHyphens/>
              <w:spacing w:line="240" w:lineRule="atLeast"/>
              <w:jc w:val="both"/>
              <w:rPr>
                <w:sz w:val="20"/>
              </w:rPr>
            </w:pPr>
            <w:r>
              <w:rPr>
                <w:sz w:val="20"/>
              </w:rPr>
              <w:t xml:space="preserve">Elles constituent des opportunités  pouvant  améliorer les conditions de vies des populations en permettant d’atteindre des objectifs de développement et lutte contre la pauvreté.  Djibouti a saisit cette opportunité dans la mesure ou elle vient de se doter d’une stratégie qui a pris force loi. Des récentes mesures engagés par le Gouvernement ont permis de réduire les coûts de communication Internet et téléphonique de 50% ce qui a permis de réduire la fracture numérique au niveau du pays . La stratégie sur le développement des TIC s’articulent essentiellement  autour  des plusieurs  priorités qui passent par l’installation des moyens accès pour tous, par la valorisation des ressources humains,   par la modernisation de l’appareil de l’état à travers l’utilisation de l’outil numérique et la mise en œuvre d’un </w:t>
            </w:r>
            <w:r>
              <w:rPr>
                <w:sz w:val="20"/>
              </w:rPr>
              <w:lastRenderedPageBreak/>
              <w:t>cadre réglementaire.</w:t>
            </w:r>
          </w:p>
          <w:p w:rsidR="001C26EC" w:rsidRDefault="001C26EC" w:rsidP="00AC5B86">
            <w:pPr>
              <w:tabs>
                <w:tab w:val="left" w:pos="602"/>
                <w:tab w:val="left" w:pos="1152"/>
                <w:tab w:val="left" w:pos="1800"/>
              </w:tabs>
              <w:suppressAutoHyphens/>
              <w:spacing w:line="240" w:lineRule="atLeast"/>
              <w:jc w:val="both"/>
              <w:rPr>
                <w:sz w:val="20"/>
              </w:rPr>
            </w:pPr>
          </w:p>
          <w:p w:rsidR="001C26EC" w:rsidRDefault="001C26EC" w:rsidP="00AC5B86">
            <w:pPr>
              <w:jc w:val="both"/>
              <w:rPr>
                <w:sz w:val="20"/>
              </w:rPr>
            </w:pPr>
            <w:r>
              <w:rPr>
                <w:sz w:val="20"/>
              </w:rPr>
              <w:t>Et dans la perspective de la mise en œuvre de cette stratégie le Gouvernement en étroite collaboration avec les partenaires au développement, envisage de mettre l'accent sur  un projet de renforcement des capacités de la gouvernance  publique par l’amélioration de l’efficacité  et de services l’administration .</w:t>
            </w:r>
          </w:p>
          <w:p w:rsidR="001C26EC" w:rsidRDefault="001C26EC" w:rsidP="00AC5B86">
            <w:pPr>
              <w:jc w:val="both"/>
              <w:rPr>
                <w:sz w:val="20"/>
              </w:rPr>
            </w:pPr>
          </w:p>
          <w:p w:rsidR="001C26EC" w:rsidRDefault="001C26EC" w:rsidP="00AC5B86">
            <w:pPr>
              <w:pStyle w:val="Heading5"/>
            </w:pPr>
            <w:r>
              <w:t>Objectifs du projet</w:t>
            </w:r>
          </w:p>
          <w:p w:rsidR="001C26EC" w:rsidRDefault="001C26EC" w:rsidP="00AC5B86">
            <w:pPr>
              <w:jc w:val="both"/>
              <w:rPr>
                <w:sz w:val="20"/>
                <w:szCs w:val="28"/>
              </w:rPr>
            </w:pPr>
          </w:p>
          <w:p w:rsidR="001C26EC" w:rsidRDefault="001C26EC" w:rsidP="00AC5B86">
            <w:pPr>
              <w:jc w:val="both"/>
              <w:rPr>
                <w:sz w:val="20"/>
              </w:rPr>
            </w:pPr>
            <w:r>
              <w:rPr>
                <w:sz w:val="20"/>
                <w:szCs w:val="28"/>
              </w:rPr>
              <w:t>L’objectif global est d’impulser la modernisation de l’administration à travers l’utilisation des  TIC par une plus grande diffusion de l’information  l’Intérêt Public   Plus spécifiquement, les objectifs immédiats du projet seront  :</w:t>
            </w:r>
          </w:p>
          <w:p w:rsidR="001C26EC" w:rsidRDefault="001C26EC" w:rsidP="00AC5B86">
            <w:pPr>
              <w:rPr>
                <w:sz w:val="20"/>
              </w:rPr>
            </w:pPr>
          </w:p>
          <w:p w:rsidR="001C26EC" w:rsidRDefault="001C26EC" w:rsidP="001C26EC">
            <w:pPr>
              <w:numPr>
                <w:ilvl w:val="0"/>
                <w:numId w:val="1"/>
              </w:numPr>
              <w:spacing w:after="0" w:line="240" w:lineRule="auto"/>
              <w:rPr>
                <w:sz w:val="20"/>
              </w:rPr>
            </w:pPr>
            <w:r>
              <w:rPr>
                <w:sz w:val="20"/>
              </w:rPr>
              <w:t>D’améliorer l’efficacité, la transparence et l’ouverture  de l’administration</w:t>
            </w:r>
          </w:p>
          <w:p w:rsidR="001C26EC" w:rsidRDefault="001C26EC" w:rsidP="001C26EC">
            <w:pPr>
              <w:numPr>
                <w:ilvl w:val="0"/>
                <w:numId w:val="1"/>
              </w:numPr>
              <w:spacing w:after="0" w:line="240" w:lineRule="auto"/>
              <w:rPr>
                <w:sz w:val="20"/>
                <w:lang w:eastAsia="fr-FR"/>
              </w:rPr>
            </w:pPr>
            <w:r>
              <w:rPr>
                <w:sz w:val="20"/>
              </w:rPr>
              <w:t>De rendre plus accessibles les agents, services, informations et ressources de l’administration et rapprocher les administrés des administrateurs</w:t>
            </w:r>
          </w:p>
          <w:p w:rsidR="001C26EC" w:rsidRDefault="001C26EC" w:rsidP="001C26EC">
            <w:pPr>
              <w:numPr>
                <w:ilvl w:val="0"/>
                <w:numId w:val="1"/>
              </w:numPr>
              <w:spacing w:after="0" w:line="240" w:lineRule="auto"/>
              <w:jc w:val="both"/>
              <w:rPr>
                <w:b/>
                <w:bCs/>
                <w:sz w:val="20"/>
                <w:szCs w:val="28"/>
              </w:rPr>
            </w:pPr>
            <w:r>
              <w:rPr>
                <w:sz w:val="20"/>
              </w:rPr>
              <w:t>De contribuer à la modernisation de l’administration par la plus grande diffusion et adaptation des TIC ainsi que des formules de gestion de l’information et du savoir qui en découlent</w:t>
            </w:r>
          </w:p>
          <w:p w:rsidR="001C26EC" w:rsidRDefault="001C26EC" w:rsidP="00AC5B86">
            <w:pPr>
              <w:jc w:val="both"/>
              <w:rPr>
                <w:b/>
                <w:bCs/>
                <w:sz w:val="20"/>
                <w:szCs w:val="28"/>
              </w:rPr>
            </w:pPr>
          </w:p>
          <w:p w:rsidR="001C26EC" w:rsidRDefault="001C26EC" w:rsidP="00AC5B86">
            <w:pPr>
              <w:jc w:val="both"/>
              <w:rPr>
                <w:sz w:val="20"/>
              </w:rPr>
            </w:pPr>
          </w:p>
          <w:p w:rsidR="001C26EC" w:rsidRDefault="001C26EC" w:rsidP="00AC5B86">
            <w:pPr>
              <w:pStyle w:val="Heading6"/>
            </w:pPr>
            <w:r>
              <w:t>Résultats escomptés</w:t>
            </w:r>
          </w:p>
          <w:p w:rsidR="001C26EC" w:rsidRDefault="001C26EC" w:rsidP="00AC5B86">
            <w:pPr>
              <w:jc w:val="both"/>
              <w:rPr>
                <w:sz w:val="20"/>
              </w:rPr>
            </w:pPr>
          </w:p>
          <w:p w:rsidR="001C26EC" w:rsidRDefault="001C26EC" w:rsidP="00AC5B86">
            <w:pPr>
              <w:jc w:val="both"/>
              <w:rPr>
                <w:sz w:val="20"/>
              </w:rPr>
            </w:pPr>
            <w:r>
              <w:rPr>
                <w:sz w:val="20"/>
              </w:rPr>
              <w:t>Les principaux résultats et activités  visés par le projet  sont :</w:t>
            </w:r>
          </w:p>
          <w:p w:rsidR="001C26EC" w:rsidRDefault="001C26EC" w:rsidP="00AC5B86">
            <w:pPr>
              <w:jc w:val="both"/>
              <w:rPr>
                <w:sz w:val="20"/>
              </w:rPr>
            </w:pPr>
          </w:p>
          <w:p w:rsidR="001C26EC" w:rsidRDefault="001C26EC" w:rsidP="001C26EC">
            <w:pPr>
              <w:numPr>
                <w:ilvl w:val="0"/>
                <w:numId w:val="2"/>
              </w:numPr>
              <w:spacing w:after="0" w:line="240" w:lineRule="auto"/>
              <w:jc w:val="both"/>
              <w:rPr>
                <w:sz w:val="20"/>
              </w:rPr>
            </w:pPr>
            <w:r>
              <w:rPr>
                <w:sz w:val="20"/>
              </w:rPr>
              <w:t>L’habilitation des  fonctionnaires à la maîtrise des outils informatiques et télématiques</w:t>
            </w:r>
          </w:p>
          <w:p w:rsidR="001C26EC" w:rsidRDefault="001C26EC" w:rsidP="001C26EC">
            <w:pPr>
              <w:numPr>
                <w:ilvl w:val="0"/>
                <w:numId w:val="2"/>
              </w:numPr>
              <w:spacing w:after="0" w:line="240" w:lineRule="auto"/>
              <w:jc w:val="both"/>
              <w:rPr>
                <w:sz w:val="20"/>
              </w:rPr>
            </w:pPr>
            <w:r>
              <w:rPr>
                <w:sz w:val="20"/>
              </w:rPr>
              <w:t>La mise en place d’un système d’information à la gestion</w:t>
            </w:r>
          </w:p>
          <w:p w:rsidR="001C26EC" w:rsidRDefault="001C26EC" w:rsidP="001C26EC">
            <w:pPr>
              <w:numPr>
                <w:ilvl w:val="0"/>
                <w:numId w:val="2"/>
              </w:numPr>
              <w:spacing w:after="0" w:line="240" w:lineRule="auto"/>
              <w:rPr>
                <w:sz w:val="20"/>
              </w:rPr>
            </w:pPr>
            <w:r>
              <w:rPr>
                <w:sz w:val="20"/>
              </w:rPr>
              <w:t>La Sensibilisation et plaidoyer  des  fonctionnaires et des usagers ( la gestion des changements dans la vie professionnelle - change management)</w:t>
            </w:r>
          </w:p>
          <w:p w:rsidR="001C26EC" w:rsidRDefault="001C26EC" w:rsidP="001C26EC">
            <w:pPr>
              <w:numPr>
                <w:ilvl w:val="0"/>
                <w:numId w:val="2"/>
              </w:numPr>
              <w:spacing w:after="0" w:line="240" w:lineRule="auto"/>
              <w:jc w:val="both"/>
              <w:rPr>
                <w:sz w:val="20"/>
              </w:rPr>
            </w:pPr>
            <w:r>
              <w:rPr>
                <w:sz w:val="20"/>
              </w:rPr>
              <w:t>L’accès en ligne aux agents , aux services et aux ressources publiques</w:t>
            </w:r>
          </w:p>
          <w:p w:rsidR="001C26EC" w:rsidRDefault="001C26EC" w:rsidP="001C26EC">
            <w:pPr>
              <w:numPr>
                <w:ilvl w:val="0"/>
                <w:numId w:val="2"/>
              </w:numPr>
              <w:spacing w:after="0" w:line="240" w:lineRule="auto"/>
              <w:jc w:val="both"/>
              <w:rPr>
                <w:sz w:val="20"/>
              </w:rPr>
            </w:pPr>
            <w:r>
              <w:rPr>
                <w:sz w:val="20"/>
              </w:rPr>
              <w:t>La mise en place de l’accès Internet public</w:t>
            </w:r>
          </w:p>
          <w:p w:rsidR="001C26EC" w:rsidRDefault="001C26EC" w:rsidP="001C26EC">
            <w:pPr>
              <w:numPr>
                <w:ilvl w:val="0"/>
                <w:numId w:val="2"/>
              </w:numPr>
              <w:spacing w:after="0" w:line="240" w:lineRule="auto"/>
              <w:rPr>
                <w:sz w:val="20"/>
              </w:rPr>
            </w:pPr>
            <w:r>
              <w:rPr>
                <w:sz w:val="20"/>
              </w:rPr>
              <w:t xml:space="preserve">Une Etude pour  réorganiser et automatiser les systèmes d’information gouvernementaux sectoriels </w:t>
            </w:r>
          </w:p>
          <w:p w:rsidR="001C26EC" w:rsidRDefault="001C26EC" w:rsidP="001C26EC">
            <w:pPr>
              <w:pStyle w:val="Recommandation"/>
              <w:numPr>
                <w:ilvl w:val="0"/>
                <w:numId w:val="2"/>
              </w:numPr>
              <w:rPr>
                <w:sz w:val="20"/>
              </w:rPr>
            </w:pPr>
            <w:r>
              <w:rPr>
                <w:sz w:val="20"/>
              </w:rPr>
              <w:t xml:space="preserve">La Mise en œuvre de deux ou trois initiatives  pilotes pour  mettre en ligne des ministères et tester et valider les éléments de la stratégie notamment pour favoriser  l’utilisation des  TIC au sein de l’administration et l’accès des citoyens  à l’information </w:t>
            </w:r>
          </w:p>
          <w:p w:rsidR="001C26EC" w:rsidRDefault="001C26EC" w:rsidP="001C26EC">
            <w:pPr>
              <w:pStyle w:val="Recommandation"/>
              <w:numPr>
                <w:ilvl w:val="0"/>
                <w:numId w:val="2"/>
              </w:numPr>
              <w:rPr>
                <w:sz w:val="20"/>
              </w:rPr>
            </w:pPr>
            <w:r>
              <w:rPr>
                <w:sz w:val="20"/>
              </w:rPr>
              <w:t>L’amélioration de l’accès des pauvres au système d’information sur l’administration</w:t>
            </w:r>
          </w:p>
          <w:p w:rsidR="001C26EC" w:rsidRDefault="001C26EC" w:rsidP="00AC5B86">
            <w:pPr>
              <w:pStyle w:val="Recommandation"/>
              <w:rPr>
                <w:sz w:val="20"/>
              </w:rPr>
            </w:pPr>
          </w:p>
          <w:p w:rsidR="001C26EC" w:rsidRDefault="001C26EC" w:rsidP="00AC5B86">
            <w:pPr>
              <w:pStyle w:val="Recommandation"/>
              <w:rPr>
                <w:sz w:val="20"/>
              </w:rPr>
            </w:pPr>
          </w:p>
          <w:p w:rsidR="001C26EC" w:rsidRDefault="001C26EC" w:rsidP="00AC5B86">
            <w:pPr>
              <w:pStyle w:val="Heading1"/>
              <w:rPr>
                <w:rFonts w:ascii="Times New Roman" w:hAnsi="Times New Roman"/>
                <w:sz w:val="20"/>
              </w:rPr>
            </w:pPr>
            <w:r>
              <w:rPr>
                <w:rFonts w:ascii="Times New Roman" w:hAnsi="Times New Roman"/>
                <w:sz w:val="20"/>
              </w:rPr>
              <w:t>Besoins de financement</w:t>
            </w:r>
          </w:p>
          <w:p w:rsidR="001C26EC" w:rsidRDefault="001C26EC" w:rsidP="00AC5B86">
            <w:pPr>
              <w:rPr>
                <w:sz w:val="20"/>
              </w:rPr>
            </w:pPr>
          </w:p>
          <w:p w:rsidR="001C26EC" w:rsidRDefault="001C26EC" w:rsidP="00AC5B86">
            <w:pPr>
              <w:rPr>
                <w:sz w:val="20"/>
              </w:rPr>
            </w:pPr>
            <w:r>
              <w:rPr>
                <w:sz w:val="20"/>
              </w:rPr>
              <w:t xml:space="preserve">Les besoins de financement pour mettre en œuvre ce processus est évalué à  250.000 </w:t>
            </w:r>
            <w:r>
              <w:rPr>
                <w:sz w:val="20"/>
              </w:rPr>
              <w:lastRenderedPageBreak/>
              <w:t>dollars</w:t>
            </w:r>
          </w:p>
          <w:p w:rsidR="001C26EC" w:rsidRDefault="001C26EC" w:rsidP="00AC5B86">
            <w:pPr>
              <w:jc w:val="both"/>
              <w:rPr>
                <w:b/>
                <w:bCs/>
                <w:sz w:val="20"/>
              </w:rPr>
            </w:pPr>
          </w:p>
          <w:p w:rsidR="001C26EC" w:rsidRDefault="001C26EC" w:rsidP="00AC5B86">
            <w:pPr>
              <w:jc w:val="both"/>
              <w:rPr>
                <w:b/>
                <w:bCs/>
                <w:sz w:val="20"/>
              </w:rPr>
            </w:pPr>
          </w:p>
        </w:tc>
      </w:tr>
    </w:tbl>
    <w:p w:rsidR="001C26EC" w:rsidRDefault="001C26EC"/>
    <w:sectPr w:rsidR="001C26EC" w:rsidSect="009D5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091"/>
    <w:multiLevelType w:val="hybridMultilevel"/>
    <w:tmpl w:val="74DEC548"/>
    <w:lvl w:ilvl="0" w:tplc="8A2061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7D11BAE"/>
    <w:multiLevelType w:val="hybridMultilevel"/>
    <w:tmpl w:val="8ED888B4"/>
    <w:lvl w:ilvl="0" w:tplc="8A2061D4">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425"/>
  <w:characterSpacingControl w:val="doNotCompress"/>
  <w:compat/>
  <w:rsids>
    <w:rsidRoot w:val="001C26EC"/>
    <w:rsid w:val="001C26EC"/>
    <w:rsid w:val="0036496E"/>
    <w:rsid w:val="005D7A8A"/>
    <w:rsid w:val="009D59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AE"/>
  </w:style>
  <w:style w:type="paragraph" w:styleId="Heading1">
    <w:name w:val="heading 1"/>
    <w:basedOn w:val="Normal"/>
    <w:next w:val="Normal"/>
    <w:link w:val="Heading1Char"/>
    <w:qFormat/>
    <w:rsid w:val="001C26EC"/>
    <w:pPr>
      <w:keepNext/>
      <w:spacing w:after="0" w:line="240" w:lineRule="auto"/>
      <w:outlineLvl w:val="0"/>
    </w:pPr>
    <w:rPr>
      <w:rFonts w:ascii="Garamond" w:eastAsia="SimSun" w:hAnsi="Garamond" w:cs="Times New Roman"/>
      <w:b/>
      <w:bCs/>
      <w:sz w:val="24"/>
      <w:szCs w:val="24"/>
      <w:lang w:eastAsia="zh-CN"/>
    </w:rPr>
  </w:style>
  <w:style w:type="paragraph" w:styleId="Heading3">
    <w:name w:val="heading 3"/>
    <w:basedOn w:val="Normal"/>
    <w:next w:val="Normal"/>
    <w:link w:val="Heading3Char"/>
    <w:qFormat/>
    <w:rsid w:val="001C26EC"/>
    <w:pPr>
      <w:keepNext/>
      <w:spacing w:after="0" w:line="240" w:lineRule="auto"/>
      <w:outlineLvl w:val="2"/>
    </w:pPr>
    <w:rPr>
      <w:rFonts w:ascii="Times New Roman" w:eastAsia="SimSun" w:hAnsi="Times New Roman" w:cs="Times New Roman"/>
      <w:b/>
      <w:bCs/>
      <w:snapToGrid w:val="0"/>
      <w:szCs w:val="24"/>
      <w:lang w:eastAsia="zh-CN"/>
    </w:rPr>
  </w:style>
  <w:style w:type="paragraph" w:styleId="Heading4">
    <w:name w:val="heading 4"/>
    <w:basedOn w:val="Normal"/>
    <w:next w:val="Normal"/>
    <w:link w:val="Heading4Char"/>
    <w:qFormat/>
    <w:rsid w:val="001C26EC"/>
    <w:pPr>
      <w:keepNext/>
      <w:spacing w:after="0" w:line="240" w:lineRule="auto"/>
      <w:outlineLvl w:val="3"/>
    </w:pPr>
    <w:rPr>
      <w:rFonts w:ascii="Times New Roman" w:eastAsia="SimSun" w:hAnsi="Times New Roman" w:cs="Times New Roman"/>
      <w:b/>
      <w:bCs/>
      <w:snapToGrid w:val="0"/>
      <w:color w:val="000000"/>
      <w:szCs w:val="21"/>
      <w:lang w:eastAsia="zh-CN"/>
    </w:rPr>
  </w:style>
  <w:style w:type="paragraph" w:styleId="Heading5">
    <w:name w:val="heading 5"/>
    <w:basedOn w:val="Normal"/>
    <w:next w:val="Normal"/>
    <w:link w:val="Heading5Char"/>
    <w:qFormat/>
    <w:rsid w:val="001C26EC"/>
    <w:pPr>
      <w:keepNext/>
      <w:spacing w:after="0" w:line="240" w:lineRule="auto"/>
      <w:jc w:val="both"/>
      <w:outlineLvl w:val="4"/>
    </w:pPr>
    <w:rPr>
      <w:rFonts w:ascii="Times New Roman" w:eastAsia="SimSun" w:hAnsi="Times New Roman" w:cs="Times New Roman"/>
      <w:b/>
      <w:bCs/>
      <w:sz w:val="20"/>
      <w:szCs w:val="28"/>
      <w:lang w:eastAsia="zh-CN"/>
    </w:rPr>
  </w:style>
  <w:style w:type="paragraph" w:styleId="Heading6">
    <w:name w:val="heading 6"/>
    <w:basedOn w:val="Normal"/>
    <w:next w:val="Normal"/>
    <w:link w:val="Heading6Char"/>
    <w:qFormat/>
    <w:rsid w:val="001C26EC"/>
    <w:pPr>
      <w:keepNext/>
      <w:spacing w:after="0" w:line="240" w:lineRule="auto"/>
      <w:jc w:val="both"/>
      <w:outlineLvl w:val="5"/>
    </w:pPr>
    <w:rPr>
      <w:rFonts w:ascii="Times New Roman" w:eastAsia="SimSun" w:hAnsi="Times New Roman" w:cs="Times New Roman"/>
      <w:b/>
      <w:bCs/>
      <w:sz w:val="20"/>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6EC"/>
    <w:rPr>
      <w:rFonts w:ascii="Garamond" w:eastAsia="SimSun" w:hAnsi="Garamond" w:cs="Times New Roman"/>
      <w:b/>
      <w:bCs/>
      <w:sz w:val="24"/>
      <w:szCs w:val="24"/>
      <w:lang w:eastAsia="zh-CN"/>
    </w:rPr>
  </w:style>
  <w:style w:type="character" w:customStyle="1" w:styleId="Heading3Char">
    <w:name w:val="Heading 3 Char"/>
    <w:basedOn w:val="DefaultParagraphFont"/>
    <w:link w:val="Heading3"/>
    <w:rsid w:val="001C26EC"/>
    <w:rPr>
      <w:rFonts w:ascii="Times New Roman" w:eastAsia="SimSun" w:hAnsi="Times New Roman" w:cs="Times New Roman"/>
      <w:b/>
      <w:bCs/>
      <w:snapToGrid w:val="0"/>
      <w:szCs w:val="24"/>
      <w:lang w:eastAsia="zh-CN"/>
    </w:rPr>
  </w:style>
  <w:style w:type="character" w:customStyle="1" w:styleId="Heading4Char">
    <w:name w:val="Heading 4 Char"/>
    <w:basedOn w:val="DefaultParagraphFont"/>
    <w:link w:val="Heading4"/>
    <w:rsid w:val="001C26EC"/>
    <w:rPr>
      <w:rFonts w:ascii="Times New Roman" w:eastAsia="SimSun" w:hAnsi="Times New Roman" w:cs="Times New Roman"/>
      <w:b/>
      <w:bCs/>
      <w:snapToGrid w:val="0"/>
      <w:color w:val="000000"/>
      <w:szCs w:val="21"/>
      <w:lang w:eastAsia="zh-CN"/>
    </w:rPr>
  </w:style>
  <w:style w:type="character" w:customStyle="1" w:styleId="Heading5Char">
    <w:name w:val="Heading 5 Char"/>
    <w:basedOn w:val="DefaultParagraphFont"/>
    <w:link w:val="Heading5"/>
    <w:rsid w:val="001C26EC"/>
    <w:rPr>
      <w:rFonts w:ascii="Times New Roman" w:eastAsia="SimSun" w:hAnsi="Times New Roman" w:cs="Times New Roman"/>
      <w:b/>
      <w:bCs/>
      <w:sz w:val="20"/>
      <w:szCs w:val="28"/>
      <w:lang w:eastAsia="zh-CN"/>
    </w:rPr>
  </w:style>
  <w:style w:type="character" w:customStyle="1" w:styleId="Heading6Char">
    <w:name w:val="Heading 6 Char"/>
    <w:basedOn w:val="DefaultParagraphFont"/>
    <w:link w:val="Heading6"/>
    <w:rsid w:val="001C26EC"/>
    <w:rPr>
      <w:rFonts w:ascii="Times New Roman" w:eastAsia="SimSun" w:hAnsi="Times New Roman" w:cs="Times New Roman"/>
      <w:b/>
      <w:bCs/>
      <w:sz w:val="20"/>
      <w:szCs w:val="24"/>
      <w:u w:val="single"/>
      <w:lang w:eastAsia="zh-CN"/>
    </w:rPr>
  </w:style>
  <w:style w:type="paragraph" w:styleId="BodyText2">
    <w:name w:val="Body Text 2"/>
    <w:basedOn w:val="Normal"/>
    <w:link w:val="BodyText2Char"/>
    <w:semiHidden/>
    <w:rsid w:val="001C26EC"/>
    <w:pPr>
      <w:spacing w:after="0" w:line="240" w:lineRule="auto"/>
      <w:jc w:val="both"/>
    </w:pPr>
    <w:rPr>
      <w:rFonts w:ascii="Times New Roman" w:eastAsia="SimSun" w:hAnsi="Times New Roman" w:cs="Times New Roman"/>
      <w:sz w:val="20"/>
      <w:szCs w:val="21"/>
      <w:lang w:eastAsia="zh-CN"/>
    </w:rPr>
  </w:style>
  <w:style w:type="character" w:customStyle="1" w:styleId="BodyText2Char">
    <w:name w:val="Body Text 2 Char"/>
    <w:basedOn w:val="DefaultParagraphFont"/>
    <w:link w:val="BodyText2"/>
    <w:semiHidden/>
    <w:rsid w:val="001C26EC"/>
    <w:rPr>
      <w:rFonts w:ascii="Times New Roman" w:eastAsia="SimSun" w:hAnsi="Times New Roman" w:cs="Times New Roman"/>
      <w:sz w:val="20"/>
      <w:szCs w:val="21"/>
      <w:lang w:eastAsia="zh-CN"/>
    </w:rPr>
  </w:style>
  <w:style w:type="paragraph" w:customStyle="1" w:styleId="Recommandation">
    <w:name w:val="Recommandation"/>
    <w:basedOn w:val="Normal"/>
    <w:rsid w:val="001C26EC"/>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3793</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 Omar</dc:creator>
  <cp:lastModifiedBy>Harbi Omar</cp:lastModifiedBy>
  <cp:revision>2</cp:revision>
  <dcterms:created xsi:type="dcterms:W3CDTF">2012-01-29T18:33:00Z</dcterms:created>
  <dcterms:modified xsi:type="dcterms:W3CDTF">2012-01-29T18:33:00Z</dcterms:modified>
</cp:coreProperties>
</file>